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1"/>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1"/>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41"/>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41"/>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941"/>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41"/>
        <w:ind w:firstLine="0"/>
        <w:jc w:val="center"/>
        <w:widowControl w:val="off"/>
        <w:rPr>
          <w:rFonts w:hint="eastAsia"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bookmarkStart w:id="79" w:name="_GoBack"/>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紫金山实验室第八届“强网”拟态防御国际精英挑战赛会务支撑服务项目</w:t>
      </w:r>
      <w:bookmarkEnd w:id="79"/>
      <w:r/>
      <w:r/>
    </w:p>
    <w:p>
      <w:pPr>
        <w:pStyle w:val="941"/>
        <w:ind w:firstLine="1440"/>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项目编号：PML-ZH-ZB-202</w:t>
      </w:r>
      <w:r>
        <w:rPr>
          <w:rFonts w:hint="eastAsia" w:ascii="Times New Roman" w:hAnsi="Times New Roman" w:eastAsia="黑体" w:cs="Times New Roman"/>
          <w:color w:val="000000" w:themeColor="text1"/>
          <w:sz w:val="36"/>
          <w:szCs w:val="36"/>
          <w14:textFill>
            <w14:solidFill>
              <w14:schemeClr w14:val="tx1"/>
            </w14:solidFill>
          </w14:textFill>
        </w:rPr>
        <w:t xml:space="preserve">5</w:t>
      </w:r>
      <w:r>
        <w:rPr>
          <w:rFonts w:ascii="Times New Roman" w:hAnsi="Times New Roman" w:eastAsia="黑体" w:cs="Times New Roman"/>
          <w:color w:val="000000" w:themeColor="text1"/>
          <w:sz w:val="36"/>
          <w:szCs w:val="36"/>
          <w14:textFill>
            <w14:solidFill>
              <w14:schemeClr w14:val="tx1"/>
            </w14:solidFill>
          </w14:textFill>
        </w:rPr>
        <w:t xml:space="preserve">0</w:t>
      </w:r>
      <w:r>
        <w:rPr>
          <w:rFonts w:hint="eastAsia" w:ascii="Times New Roman" w:hAnsi="Times New Roman" w:eastAsia="黑体" w:cs="Times New Roman"/>
          <w:color w:val="000000" w:themeColor="text1"/>
          <w:sz w:val="36"/>
          <w:szCs w:val="36"/>
          <w14:textFill>
            <w14:solidFill>
              <w14:schemeClr w14:val="tx1"/>
            </w14:solidFill>
          </w14:textFill>
        </w:rPr>
        <w:t xml:space="preserve">15</w:t>
      </w:r>
      <w:r/>
    </w:p>
    <w:p>
      <w:pPr>
        <w:pStyle w:val="941"/>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1"/>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1"/>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1"/>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1"/>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1"/>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1"/>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941"/>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941"/>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941"/>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2025</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14:textFill>
            <w14:solidFill>
              <w14:schemeClr w14:val="tx1"/>
            </w14:solidFill>
          </w14:textFill>
        </w:rPr>
        <w:t xml:space="preserve">10</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jc w:val="center"/>
        <w:spacing w:before="312" w:after="312" w:line="360" w:lineRule="auto"/>
        <w:rPr>
          <w:rFonts w:hint="eastAsia"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914"/>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925"/>
              <w:rFonts w:hint="eastAsia" w:ascii="黑体" w:hAnsi="黑体" w:cs="黑体"/>
              <w:color w:val="000000" w:themeColor="text1"/>
              <w:lang w:val="zh-TW" w:eastAsia="zh-TW"/>
              <w14:textFill>
                <w14:solidFill>
                  <w14:schemeClr w14:val="tx1"/>
                </w14:solidFill>
              </w14:textFill>
            </w:rPr>
            <w:t xml:space="preserve">第一章</w:t>
          </w:r>
          <w:r>
            <w:rPr>
              <w:rStyle w:val="925"/>
              <w:rFonts w:ascii="黑体" w:hAnsi="黑体" w:cs="黑体"/>
              <w:color w:val="000000" w:themeColor="text1"/>
              <w:lang w:val="zh-TW" w:eastAsia="zh-TW"/>
              <w14:textFill>
                <w14:solidFill>
                  <w14:schemeClr w14:val="tx1"/>
                </w14:solidFill>
              </w14:textFill>
            </w:rPr>
            <w:t xml:space="preserve">  </w:t>
          </w:r>
          <w:r>
            <w:rPr>
              <w:rStyle w:val="925"/>
              <w:rFonts w:hint="eastAsia" w:ascii="黑体" w:hAnsi="黑体" w:cs="黑体"/>
              <w:color w:val="000000" w:themeColor="text1"/>
              <w:lang w:val="zh-TW"/>
              <w14:textFill>
                <w14:solidFill>
                  <w14:schemeClr w14:val="tx1"/>
                </w14:solidFill>
              </w14:textFill>
            </w:rPr>
            <w:t xml:space="preserve">招标</w:t>
          </w:r>
          <w:r>
            <w:rPr>
              <w:rStyle w:val="925"/>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4"/>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925"/>
              <w:rFonts w:hint="eastAsia" w:ascii="黑体" w:hAnsi="黑体" w:cs="黑体"/>
              <w:color w:val="000000" w:themeColor="text1"/>
              <w:lang w:val="zh-TW" w:eastAsia="zh-TW"/>
              <w14:textFill>
                <w14:solidFill>
                  <w14:schemeClr w14:val="tx1"/>
                </w14:solidFill>
              </w14:textFill>
            </w:rPr>
            <w:t xml:space="preserve">第二章</w:t>
          </w:r>
          <w:r>
            <w:rPr>
              <w:rStyle w:val="925"/>
              <w:rFonts w:ascii="黑体" w:hAnsi="黑体" w:cs="黑体"/>
              <w:color w:val="000000" w:themeColor="text1"/>
              <w:lang w:val="zh-TW" w:eastAsia="zh-TW"/>
              <w14:textFill>
                <w14:solidFill>
                  <w14:schemeClr w14:val="tx1"/>
                </w14:solidFill>
              </w14:textFill>
            </w:rPr>
            <w:t xml:space="preserve">  </w:t>
          </w:r>
          <w:r>
            <w:rPr>
              <w:rStyle w:val="925"/>
              <w:rFonts w:hint="eastAsia" w:ascii="黑体" w:hAnsi="黑体" w:cs="黑体"/>
              <w:color w:val="000000" w:themeColor="text1"/>
              <w:lang w:val="zh-TW"/>
              <w14:textFill>
                <w14:solidFill>
                  <w14:schemeClr w14:val="tx1"/>
                </w14:solidFill>
              </w14:textFill>
            </w:rPr>
            <w:t xml:space="preserve">投标人</w:t>
          </w:r>
          <w:r>
            <w:rPr>
              <w:rStyle w:val="925"/>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4"/>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925"/>
              <w:rFonts w:hint="eastAsia" w:ascii="黑体" w:hAnsi="黑体" w:cs="黑体"/>
              <w:color w:val="000000" w:themeColor="text1"/>
              <w:lang w:val="zh-TW" w:eastAsia="zh-TW"/>
              <w14:textFill>
                <w14:solidFill>
                  <w14:schemeClr w14:val="tx1"/>
                </w14:solidFill>
              </w14:textFill>
            </w:rPr>
            <w:t xml:space="preserve">第</w:t>
          </w:r>
          <w:r>
            <w:rPr>
              <w:rStyle w:val="925"/>
              <w:rFonts w:hint="eastAsia" w:ascii="黑体" w:hAnsi="黑体" w:cs="黑体"/>
              <w:color w:val="000000" w:themeColor="text1"/>
              <w:lang w:val="zh-TW"/>
              <w14:textFill>
                <w14:solidFill>
                  <w14:schemeClr w14:val="tx1"/>
                </w14:solidFill>
              </w14:textFill>
            </w:rPr>
            <w:t xml:space="preserve">三</w:t>
          </w:r>
          <w:r>
            <w:rPr>
              <w:rStyle w:val="925"/>
              <w:rFonts w:hint="eastAsia" w:ascii="黑体" w:hAnsi="黑体" w:cs="黑体"/>
              <w:color w:val="000000" w:themeColor="text1"/>
              <w:lang w:val="zh-TW" w:eastAsia="zh-TW"/>
              <w14:textFill>
                <w14:solidFill>
                  <w14:schemeClr w14:val="tx1"/>
                </w14:solidFill>
              </w14:textFill>
            </w:rPr>
            <w:t xml:space="preserve">章</w:t>
          </w:r>
          <w:r>
            <w:rPr>
              <w:rStyle w:val="925"/>
              <w:rFonts w:ascii="黑体" w:hAnsi="黑体" w:cs="黑体"/>
              <w:color w:val="000000" w:themeColor="text1"/>
              <w:lang w:val="zh-TW" w:eastAsia="zh-TW"/>
              <w14:textFill>
                <w14:solidFill>
                  <w14:schemeClr w14:val="tx1"/>
                </w14:solidFill>
              </w14:textFill>
            </w:rPr>
            <w:t xml:space="preserve">  </w:t>
          </w:r>
          <w:r>
            <w:rPr>
              <w:rStyle w:val="925"/>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4"/>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925"/>
              <w:rFonts w:hint="eastAsia" w:ascii="黑体" w:hAnsi="黑体" w:cs="黑体"/>
              <w:color w:val="000000" w:themeColor="text1"/>
              <w:lang w:val="zh-TW" w:eastAsia="zh-TW"/>
              <w14:textFill>
                <w14:solidFill>
                  <w14:schemeClr w14:val="tx1"/>
                </w14:solidFill>
              </w14:textFill>
            </w:rPr>
            <w:t xml:space="preserve">第</w:t>
          </w:r>
          <w:r>
            <w:rPr>
              <w:rStyle w:val="925"/>
              <w:rFonts w:hint="eastAsia" w:ascii="黑体" w:hAnsi="黑体" w:cs="黑体"/>
              <w:color w:val="000000" w:themeColor="text1"/>
              <w:lang w:val="zh-TW"/>
              <w14:textFill>
                <w14:solidFill>
                  <w14:schemeClr w14:val="tx1"/>
                </w14:solidFill>
              </w14:textFill>
            </w:rPr>
            <w:t xml:space="preserve">四</w:t>
          </w:r>
          <w:r>
            <w:rPr>
              <w:rStyle w:val="925"/>
              <w:rFonts w:hint="eastAsia" w:ascii="黑体" w:hAnsi="黑体" w:cs="黑体"/>
              <w:color w:val="000000" w:themeColor="text1"/>
              <w:lang w:val="zh-TW" w:eastAsia="zh-TW"/>
              <w14:textFill>
                <w14:solidFill>
                  <w14:schemeClr w14:val="tx1"/>
                </w14:solidFill>
              </w14:textFill>
            </w:rPr>
            <w:t xml:space="preserve">章</w:t>
          </w:r>
          <w:r>
            <w:rPr>
              <w:rStyle w:val="925"/>
              <w:rFonts w:ascii="黑体" w:hAnsi="黑体" w:cs="黑体"/>
              <w:color w:val="000000" w:themeColor="text1"/>
              <w:lang w:val="zh-TW" w:eastAsia="zh-TW"/>
              <w14:textFill>
                <w14:solidFill>
                  <w14:schemeClr w14:val="tx1"/>
                </w14:solidFill>
              </w14:textFill>
            </w:rPr>
            <w:t xml:space="preserve">  </w:t>
          </w:r>
          <w:r>
            <w:rPr>
              <w:rStyle w:val="925"/>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4"/>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925"/>
              <w:rFonts w:hint="eastAsia" w:ascii="黑体" w:hAnsi="黑体" w:cs="黑体"/>
              <w:color w:val="000000" w:themeColor="text1"/>
              <w:lang w:val="zh-TW" w:eastAsia="zh-TW"/>
              <w14:textFill>
                <w14:solidFill>
                  <w14:schemeClr w14:val="tx1"/>
                </w14:solidFill>
              </w14:textFill>
            </w:rPr>
            <w:t xml:space="preserve">第</w:t>
          </w:r>
          <w:r>
            <w:rPr>
              <w:rStyle w:val="925"/>
              <w:rFonts w:hint="eastAsia" w:ascii="黑体" w:hAnsi="黑体" w:cs="黑体"/>
              <w:color w:val="000000" w:themeColor="text1"/>
              <w:lang w:val="zh-TW"/>
              <w14:textFill>
                <w14:solidFill>
                  <w14:schemeClr w14:val="tx1"/>
                </w14:solidFill>
              </w14:textFill>
            </w:rPr>
            <w:t xml:space="preserve">五</w:t>
          </w:r>
          <w:r>
            <w:rPr>
              <w:rStyle w:val="925"/>
              <w:rFonts w:hint="eastAsia" w:ascii="黑体" w:hAnsi="黑体" w:cs="黑体"/>
              <w:color w:val="000000" w:themeColor="text1"/>
              <w:lang w:val="zh-TW" w:eastAsia="zh-TW"/>
              <w14:textFill>
                <w14:solidFill>
                  <w14:schemeClr w14:val="tx1"/>
                </w14:solidFill>
              </w14:textFill>
            </w:rPr>
            <w:t xml:space="preserve">章</w:t>
          </w:r>
          <w:r>
            <w:rPr>
              <w:rStyle w:val="925"/>
              <w:rFonts w:ascii="黑体" w:hAnsi="黑体" w:cs="黑体"/>
              <w:color w:val="000000" w:themeColor="text1"/>
              <w:lang w:val="zh-TW" w:eastAsia="zh-TW"/>
              <w14:textFill>
                <w14:solidFill>
                  <w14:schemeClr w14:val="tx1"/>
                </w14:solidFill>
              </w14:textFill>
            </w:rPr>
            <w:t xml:space="preserve">  </w:t>
          </w:r>
          <w:r>
            <w:rPr>
              <w:rStyle w:val="925"/>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4"/>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925"/>
              <w:rFonts w:hint="eastAsia" w:ascii="黑体" w:hAnsi="黑体" w:cs="黑体"/>
              <w:color w:val="000000" w:themeColor="text1"/>
              <w:lang w:val="zh-TW" w:eastAsia="zh-TW"/>
              <w14:textFill>
                <w14:solidFill>
                  <w14:schemeClr w14:val="tx1"/>
                </w14:solidFill>
              </w14:textFill>
            </w:rPr>
            <w:t xml:space="preserve">第</w:t>
          </w:r>
          <w:r>
            <w:rPr>
              <w:rStyle w:val="925"/>
              <w:rFonts w:hint="eastAsia" w:ascii="黑体" w:hAnsi="黑体" w:cs="黑体"/>
              <w:color w:val="000000" w:themeColor="text1"/>
              <w:lang w:val="zh-TW"/>
              <w14:textFill>
                <w14:solidFill>
                  <w14:schemeClr w14:val="tx1"/>
                </w14:solidFill>
              </w14:textFill>
            </w:rPr>
            <w:t xml:space="preserve">六</w:t>
          </w:r>
          <w:r>
            <w:rPr>
              <w:rStyle w:val="925"/>
              <w:rFonts w:hint="eastAsia" w:ascii="黑体" w:hAnsi="黑体" w:cs="黑体"/>
              <w:color w:val="000000" w:themeColor="text1"/>
              <w:lang w:val="zh-TW" w:eastAsia="zh-TW"/>
              <w14:textFill>
                <w14:solidFill>
                  <w14:schemeClr w14:val="tx1"/>
                </w14:solidFill>
              </w14:textFill>
            </w:rPr>
            <w:t xml:space="preserve">章</w:t>
          </w:r>
          <w:r>
            <w:rPr>
              <w:rStyle w:val="925"/>
              <w:rFonts w:ascii="黑体" w:hAnsi="黑体" w:cs="黑体"/>
              <w:color w:val="000000" w:themeColor="text1"/>
              <w:lang w:val="zh-TW" w:eastAsia="zh-TW"/>
              <w14:textFill>
                <w14:solidFill>
                  <w14:schemeClr w14:val="tx1"/>
                </w14:solidFill>
              </w14:textFill>
            </w:rPr>
            <w:t xml:space="preserve">  </w:t>
          </w:r>
          <w:r>
            <w:rPr>
              <w:rStyle w:val="925"/>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925"/>
              <w:rFonts w:eastAsia="黑体"/>
              <w:color w:val="000000" w:themeColor="text1"/>
              <w14:textFill>
                <w14:solidFill>
                  <w14:schemeClr w14:val="tx1"/>
                </w14:solidFill>
              </w14:textFill>
            </w:rPr>
            <w:t xml:space="preserve">6.1 </w:t>
          </w:r>
          <w:r>
            <w:rPr>
              <w:rStyle w:val="925"/>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925"/>
              <w:rFonts w:eastAsia="黑体"/>
              <w:color w:val="000000" w:themeColor="text1"/>
              <w14:textFill>
                <w14:solidFill>
                  <w14:schemeClr w14:val="tx1"/>
                </w14:solidFill>
              </w14:textFill>
            </w:rPr>
            <w:t xml:space="preserve">6.2 </w:t>
          </w:r>
          <w:r>
            <w:rPr>
              <w:rStyle w:val="925"/>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925"/>
              <w:rFonts w:eastAsia="黑体"/>
              <w:color w:val="000000" w:themeColor="text1"/>
              <w14:textFill>
                <w14:solidFill>
                  <w14:schemeClr w14:val="tx1"/>
                </w14:solidFill>
              </w14:textFill>
            </w:rPr>
            <w:t xml:space="preserve">6.3 </w:t>
          </w:r>
          <w:r>
            <w:rPr>
              <w:rStyle w:val="925"/>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925"/>
              <w:rFonts w:eastAsia="黑体"/>
              <w:color w:val="000000" w:themeColor="text1"/>
              <w14:textFill>
                <w14:solidFill>
                  <w14:schemeClr w14:val="tx1"/>
                </w14:solidFill>
              </w14:textFill>
            </w:rPr>
            <w:t xml:space="preserve">6.4 </w:t>
          </w:r>
          <w:r>
            <w:rPr>
              <w:rStyle w:val="925"/>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925"/>
              <w:rFonts w:eastAsia="黑体"/>
              <w:color w:val="000000" w:themeColor="text1"/>
              <w14:textFill>
                <w14:solidFill>
                  <w14:schemeClr w14:val="tx1"/>
                </w14:solidFill>
              </w14:textFill>
            </w:rPr>
            <w:t xml:space="preserve">6.5 </w:t>
          </w:r>
          <w:r>
            <w:rPr>
              <w:rStyle w:val="925"/>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925"/>
              <w:rFonts w:eastAsia="黑体"/>
              <w:color w:val="000000" w:themeColor="text1"/>
              <w14:textFill>
                <w14:solidFill>
                  <w14:schemeClr w14:val="tx1"/>
                </w14:solidFill>
              </w14:textFill>
            </w:rPr>
            <w:t xml:space="preserve">6.6 </w:t>
          </w:r>
          <w:r>
            <w:rPr>
              <w:rStyle w:val="925"/>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925"/>
              <w:rFonts w:eastAsia="黑体"/>
              <w:color w:val="000000" w:themeColor="text1"/>
              <w14:textFill>
                <w14:solidFill>
                  <w14:schemeClr w14:val="tx1"/>
                </w14:solidFill>
              </w14:textFill>
            </w:rPr>
            <w:t xml:space="preserve">6.7 </w:t>
          </w:r>
          <w:r>
            <w:rPr>
              <w:rStyle w:val="925"/>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925"/>
              <w:rFonts w:eastAsia="黑体"/>
              <w:color w:val="000000" w:themeColor="text1"/>
              <w14:textFill>
                <w14:solidFill>
                  <w14:schemeClr w14:val="tx1"/>
                </w14:solidFill>
              </w14:textFill>
            </w:rPr>
            <w:t xml:space="preserve">6.8 </w:t>
          </w:r>
          <w:r>
            <w:rPr>
              <w:rStyle w:val="925"/>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08"/>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925"/>
              <w:rFonts w:eastAsia="黑体"/>
              <w:color w:val="000000" w:themeColor="text1"/>
              <w14:textFill>
                <w14:solidFill>
                  <w14:schemeClr w14:val="tx1"/>
                </w14:solidFill>
              </w14:textFill>
            </w:rPr>
            <w:t xml:space="preserve">6.9 </w:t>
          </w:r>
          <w:r>
            <w:rPr>
              <w:rStyle w:val="925"/>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914"/>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3"/>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jc w:val="center"/>
        <w:spacing w:before="312" w:after="312" w:line="360" w:lineRule="auto"/>
        <w:rPr>
          <w:sz w:val="28"/>
          <w:szCs w:val="28"/>
        </w:rPr>
        <w:outlineLvl w:val="0"/>
      </w:pPr>
      <w:r/>
      <w:bookmarkStart w:id="1" w:name="_Toc415494523"/>
      <w:r/>
      <w:bookmarkStart w:id="2" w:name="_Toc448069940"/>
      <w:r/>
      <w:bookmarkStart w:id="3" w:name="_Toc11859485"/>
      <w:r/>
      <w:bookmarkStart w:id="4" w:name="_Toc"/>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894"/>
        <w:spacing w:line="360" w:lineRule="exact"/>
        <w:rPr>
          <w:rFonts w:hint="eastAsia" w:ascii="黑体" w:hAnsi="黑体" w:cs="宋体"/>
          <w:b w:val="0"/>
          <w:sz w:val="28"/>
          <w:szCs w:val="28"/>
        </w:rPr>
      </w:pPr>
      <w:r/>
      <w:bookmarkStart w:id="5" w:name="_Toc35393790"/>
      <w:r/>
      <w:bookmarkStart w:id="6" w:name="_Toc35393621"/>
      <w:r/>
      <w:bookmarkStart w:id="7" w:name="_Toc28359079"/>
      <w:r/>
      <w:bookmarkStart w:id="8" w:name="_Toc28359002"/>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项目编号：</w:t>
      </w:r>
      <w:r>
        <w:rPr>
          <w:rFonts w:ascii="仿宋" w:hAnsi="仿宋" w:eastAsia="仿宋"/>
          <w:sz w:val="28"/>
          <w:szCs w:val="28"/>
        </w:rPr>
        <w:t xml:space="preserve">PML-ZH-ZB-202</w:t>
      </w:r>
      <w:r>
        <w:rPr>
          <w:rFonts w:hint="eastAsia" w:ascii="仿宋" w:hAnsi="仿宋" w:eastAsia="仿宋"/>
          <w:sz w:val="28"/>
          <w:szCs w:val="28"/>
        </w:rPr>
        <w:t xml:space="preserve">5</w:t>
      </w:r>
      <w:r>
        <w:rPr>
          <w:rFonts w:ascii="仿宋" w:hAnsi="仿宋" w:eastAsia="仿宋"/>
          <w:sz w:val="28"/>
          <w:szCs w:val="28"/>
        </w:rPr>
        <w:t xml:space="preserve">0</w:t>
      </w:r>
      <w:r>
        <w:rPr>
          <w:rFonts w:hint="eastAsia" w:ascii="仿宋" w:hAnsi="仿宋" w:eastAsia="仿宋"/>
          <w:sz w:val="28"/>
          <w:szCs w:val="28"/>
        </w:rPr>
        <w:t xml:space="preserve">15</w:t>
      </w:r>
      <w:r/>
    </w:p>
    <w:p>
      <w:pPr>
        <w:ind w:left="1959" w:hanging="1400"/>
        <w:spacing w:line="400" w:lineRule="exact"/>
        <w:rPr>
          <w:rFonts w:hint="eastAsia"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紫金山实验室第八届“强网”拟态防御国际精英挑战赛会务支撑服务项目</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1910000元人民币</w:t>
      </w:r>
      <w:bookmarkEnd w:id="11"/>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最高限价：1910000</w:t>
      </w:r>
      <w:r>
        <w:rPr>
          <w:rFonts w:hint="eastAsia" w:ascii="仿宋" w:hAnsi="仿宋" w:eastAsia="仿宋" w:cs="仿宋"/>
          <w:color w:val="000000"/>
          <w:sz w:val="28"/>
        </w:rPr>
        <w:t xml:space="preserve">元人民币</w:t>
      </w:r>
      <w:r/>
    </w:p>
    <w:p>
      <w:pPr>
        <w:ind w:firstLine="560"/>
        <w:spacing w:line="264" w:lineRule="auto"/>
        <w:rPr>
          <w:rFonts w:hint="eastAsia" w:ascii="仿宋" w:hAnsi="仿宋" w:eastAsia="仿宋"/>
          <w:sz w:val="28"/>
          <w:szCs w:val="28"/>
        </w:rPr>
      </w:pPr>
      <w:r>
        <w:rPr>
          <w:rFonts w:hint="eastAsia" w:ascii="仿宋" w:hAnsi="仿宋" w:eastAsia="仿宋"/>
          <w:sz w:val="28"/>
          <w:szCs w:val="28"/>
        </w:rPr>
        <w:t xml:space="preserve">采购需求：</w:t>
      </w:r>
      <w:r/>
    </w:p>
    <w:p>
      <w:pPr>
        <w:ind w:firstLine="480"/>
        <w:spacing w:line="264" w:lineRule="auto"/>
        <w:rPr>
          <w:rFonts w:hint="eastAsia" w:ascii="宋体" w:hAnsi="宋体"/>
          <w:sz w:val="24"/>
          <w:szCs w:val="24"/>
        </w:rPr>
      </w:pPr>
      <w:r>
        <w:rPr>
          <w:rFonts w:hint="eastAsia" w:ascii="宋体" w:hAnsi="宋体"/>
          <w:sz w:val="24"/>
          <w:szCs w:val="24"/>
        </w:rPr>
        <w:t xml:space="preserve">第八届“强网”拟态防御国际精英挑战赛作为网络弹性基础设施的重要技术验证平台，将通过大规模、多场景的测试竞技，为网络韧性测评体系的标准化建设提供关键数据支撑。</w:t>
      </w:r>
      <w:r/>
    </w:p>
    <w:p>
      <w:pPr>
        <w:ind w:firstLine="480"/>
        <w:spacing w:line="400" w:lineRule="exact"/>
      </w:pPr>
      <w:r>
        <w:rPr>
          <w:rFonts w:hint="eastAsia" w:ascii="宋体" w:hAnsi="宋体"/>
          <w:sz w:val="24"/>
          <w:szCs w:val="24"/>
        </w:rPr>
        <w:t xml:space="preserve">为确保赛事的高质量举办，需重点强化会务支撑服务，以保障网络韧性测评的严谨性与赛事执行的流畅性。本届赛事不仅是技术竞技平台，更是网络弹性基础设施建设的关键环节。通过专业化的会务服务保障，赛事将高效衔接技术研发、测评验证与产业应用，推动我国网络安全防御体系从“被动防护”向“主动弹性”的跨越式发展。</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所属行业：租赁和商务服务业。</w:t>
      </w:r>
      <w:r/>
    </w:p>
    <w:p>
      <w:pPr>
        <w:pStyle w:val="894"/>
        <w:spacing w:line="360" w:lineRule="exact"/>
        <w:rPr>
          <w:rFonts w:hint="eastAsia" w:ascii="仿宋" w:hAnsi="仿宋" w:eastAsia="仿宋"/>
          <w:sz w:val="28"/>
          <w:szCs w:val="28"/>
        </w:rPr>
      </w:pPr>
      <w:r/>
      <w:bookmarkStart w:id="12" w:name="_Toc35393791"/>
      <w:r/>
      <w:bookmarkStart w:id="13" w:name="_Toc28359003"/>
      <w:r/>
      <w:bookmarkStart w:id="14" w:name="_Toc35393622"/>
      <w:r/>
      <w:bookmarkStart w:id="15" w:name="_Toc28359080"/>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1.2投标人需提供2024年度或最新一年度的财务状况报告（成立不满一年不需提供）；</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1.7拒绝下述投标人参加本次采购活动：</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1.8政府采购信用承诺</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投标人应尽早做好承诺工作，点击‘南京公共采购信息网’首页 （https://njg</w:t>
      </w:r>
      <w:r>
        <w:rPr>
          <w:rFonts w:hint="eastAsia" w:ascii="仿宋" w:hAnsi="仿宋" w:eastAsia="仿宋"/>
          <w:sz w:val="28"/>
          <w:szCs w:val="28"/>
        </w:rPr>
        <w:t xml:space="preserve">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要求完成注册），然后在“信用记录”模块页面点击“信用记录打印”下载本单位《南京市政府采购投标人信用记录表暨信用承诺书》，由法人签字并盖单位投标人CA公章，随投标文件一并递交。</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hint="eastAsia" w:ascii="仿宋" w:hAnsi="仿宋" w:eastAsia="仿宋"/>
          <w:sz w:val="28"/>
          <w:szCs w:val="28"/>
        </w:rPr>
      </w:pPr>
      <w:r/>
      <w:bookmarkStart w:id="16" w:name="_Toc28359004"/>
      <w:r/>
      <w:bookmarkStart w:id="17" w:name="_Toc28359081"/>
      <w:r>
        <w:rPr>
          <w:rFonts w:hint="eastAsia" w:ascii="仿宋" w:hAnsi="仿宋" w:eastAsia="仿宋"/>
          <w:sz w:val="28"/>
          <w:szCs w:val="28"/>
        </w:rPr>
        <w:t xml:space="preserve">2.落实政府采购政策需满足的资格要求：</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（1）本项目整体专门面向中小企业采购服务。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（2）本项目整体专门面向小微企业采购服务。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（3）本项目通过以下第（/） 种方式预留部分采购份额采购中小企业服务：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894"/>
        <w:spacing w:line="360" w:lineRule="exact"/>
        <w:rPr>
          <w:rFonts w:hint="eastAsia" w:ascii="黑体" w:hAnsi="黑体" w:cs="宋体"/>
          <w:b w:val="0"/>
          <w:sz w:val="28"/>
          <w:szCs w:val="28"/>
        </w:rPr>
      </w:pPr>
      <w:r/>
      <w:bookmarkStart w:id="18" w:name="_Toc35393792"/>
      <w:r/>
      <w:bookmarkStart w:id="19" w:name="_Toc35393623"/>
      <w:r>
        <w:rPr>
          <w:rFonts w:hint="eastAsia" w:ascii="黑体" w:hAnsi="黑体" w:cs="宋体"/>
          <w:b w:val="0"/>
          <w:sz w:val="28"/>
          <w:szCs w:val="28"/>
        </w:rPr>
        <w:t xml:space="preserve">三、获取招标文件</w:t>
      </w:r>
      <w:bookmarkEnd w:id="16"/>
      <w:r/>
      <w:bookmarkEnd w:id="17"/>
      <w:r/>
      <w:bookmarkEnd w:id="18"/>
      <w:r/>
      <w:bookmarkEnd w:id="19"/>
      <w:r/>
      <w:r/>
    </w:p>
    <w:p>
      <w:pPr>
        <w:ind w:firstLine="540"/>
        <w:spacing w:line="3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时间：</w:t>
      </w:r>
      <w:r>
        <w:rPr>
          <w:rFonts w:hint="eastAsia" w:ascii="仿宋" w:hAnsi="仿宋" w:eastAsia="仿宋" w:cs="宋体"/>
          <w:sz w:val="28"/>
          <w:szCs w:val="28"/>
          <w:highlight w:val="none"/>
          <w:u w:val="single"/>
        </w:rPr>
        <w:t xml:space="preserve">2025年</w:t>
      </w:r>
      <w:r>
        <w:rPr>
          <w:rFonts w:hint="eastAsia" w:ascii="仿宋" w:hAnsi="仿宋" w:eastAsia="仿宋" w:cs="宋体"/>
          <w:sz w:val="28"/>
          <w:szCs w:val="28"/>
          <w:highlight w:val="none"/>
          <w:u w:val="single"/>
          <w:lang w:val="en-US" w:eastAsia="zh-CN"/>
        </w:rPr>
        <w:t xml:space="preserve">10</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22</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至</w:t>
      </w:r>
      <w:r>
        <w:rPr>
          <w:rFonts w:hint="eastAsia" w:ascii="仿宋" w:hAnsi="仿宋" w:eastAsia="仿宋" w:cs="宋体"/>
          <w:sz w:val="28"/>
          <w:szCs w:val="28"/>
          <w:highlight w:val="none"/>
          <w:u w:val="single"/>
        </w:rPr>
        <w:t xml:space="preserve">2025年</w:t>
      </w:r>
      <w:r>
        <w:rPr>
          <w:rFonts w:hint="eastAsia" w:ascii="仿宋" w:hAnsi="仿宋" w:eastAsia="仿宋" w:cs="宋体"/>
          <w:sz w:val="28"/>
          <w:szCs w:val="28"/>
          <w:highlight w:val="none"/>
          <w:u w:val="single"/>
          <w:lang w:val="en-US" w:eastAsia="zh-CN"/>
        </w:rPr>
        <w:t xml:space="preserve">10</w:t>
      </w:r>
      <w:r>
        <w:rPr>
          <w:rFonts w:hint="eastAsia" w:ascii="仿宋" w:hAnsi="仿宋" w:eastAsia="仿宋" w:cs="宋体"/>
          <w:sz w:val="28"/>
          <w:szCs w:val="28"/>
          <w:highlight w:val="none"/>
          <w:u w:val="single"/>
        </w:rPr>
        <w:t xml:space="preserve">月</w:t>
      </w:r>
      <w:r>
        <w:rPr>
          <w:rFonts w:hint="eastAsia" w:ascii="仿宋" w:hAnsi="仿宋" w:eastAsia="仿宋" w:cs="宋体"/>
          <w:sz w:val="28"/>
          <w:szCs w:val="28"/>
          <w:highlight w:val="none"/>
          <w:u w:val="single"/>
          <w:lang w:val="en-US" w:eastAsia="zh-CN"/>
        </w:rPr>
        <w:t xml:space="preserve">28</w:t>
      </w:r>
      <w:r>
        <w:rPr>
          <w:rFonts w:hint="eastAsia" w:ascii="仿宋" w:hAnsi="仿宋" w:eastAsia="仿宋" w:cs="宋体"/>
          <w:sz w:val="28"/>
          <w:szCs w:val="28"/>
          <w:highlight w:val="none"/>
          <w:u w:val="single"/>
        </w:rPr>
        <w:t xml:space="preserve">日</w:t>
      </w:r>
      <w:r>
        <w:rPr>
          <w:rFonts w:hint="eastAsia" w:ascii="仿宋" w:hAnsi="仿宋" w:eastAsia="仿宋" w:cs="宋体"/>
          <w:sz w:val="28"/>
          <w:szCs w:val="28"/>
          <w:highlight w:val="none"/>
        </w:rPr>
        <w:t xml:space="preserve">，每天上午8：30至11：30，下午14：00至17：30</w:t>
      </w:r>
      <w:r/>
    </w:p>
    <w:p>
      <w:pPr>
        <w:ind w:firstLine="540"/>
        <w:spacing w:line="3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地点：南京市建邺区楠溪江东街58号9楼</w:t>
      </w:r>
      <w:r/>
    </w:p>
    <w:p>
      <w:pPr>
        <w:ind w:firstLine="540"/>
        <w:spacing w:line="360" w:lineRule="exact"/>
        <w:rPr>
          <w:rFonts w:hint="eastAsia" w:ascii="仿宋" w:hAnsi="仿宋" w:eastAsia="仿宋" w:cs="宋体"/>
          <w:sz w:val="28"/>
          <w:szCs w:val="28"/>
          <w:highlight w:val="none"/>
          <w:u w:val="single"/>
        </w:rPr>
      </w:pPr>
      <w:r>
        <w:rPr>
          <w:rFonts w:hint="eastAsia" w:ascii="仿宋" w:hAnsi="仿宋" w:eastAsia="仿宋" w:cs="宋体"/>
          <w:sz w:val="28"/>
          <w:szCs w:val="28"/>
          <w:highlight w:val="none"/>
        </w:rPr>
        <w:t xml:space="preserve">方式：苏采云上下载</w:t>
      </w:r>
      <w:r/>
    </w:p>
    <w:p>
      <w:pPr>
        <w:pStyle w:val="894"/>
        <w:spacing w:line="360" w:lineRule="exact"/>
        <w:rPr>
          <w:rFonts w:hint="eastAsia" w:ascii="黑体" w:hAnsi="黑体" w:cs="宋体"/>
          <w:b w:val="0"/>
          <w:sz w:val="28"/>
          <w:szCs w:val="28"/>
          <w:highlight w:val="none"/>
        </w:rPr>
      </w:pPr>
      <w:r/>
      <w:bookmarkStart w:id="20" w:name="_Toc28359005"/>
      <w:r/>
      <w:bookmarkStart w:id="21" w:name="_Toc28359082"/>
      <w:r/>
      <w:bookmarkStart w:id="22" w:name="_Toc35393793"/>
      <w:r/>
      <w:bookmarkStart w:id="23" w:name="_Toc35393624"/>
      <w:r>
        <w:rPr>
          <w:rFonts w:hint="eastAsia" w:ascii="黑体" w:hAnsi="黑体" w:cs="宋体"/>
          <w:b w:val="0"/>
          <w:sz w:val="28"/>
          <w:szCs w:val="28"/>
          <w:highlight w:val="none"/>
        </w:rPr>
        <w:t xml:space="preserve">四、提交投标文件</w:t>
      </w:r>
      <w:bookmarkEnd w:id="20"/>
      <w:r/>
      <w:bookmarkEnd w:id="21"/>
      <w:r>
        <w:rPr>
          <w:rFonts w:hint="eastAsia" w:ascii="黑体" w:hAnsi="黑体" w:cs="宋体"/>
          <w:b w:val="0"/>
          <w:sz w:val="28"/>
          <w:szCs w:val="28"/>
          <w:highlight w:val="none"/>
        </w:rPr>
        <w:t xml:space="preserve">截止时间、开标时间和地点</w:t>
      </w:r>
      <w:bookmarkEnd w:id="22"/>
      <w:r/>
      <w:bookmarkEnd w:id="23"/>
      <w:r/>
      <w:r/>
    </w:p>
    <w:p>
      <w:pPr>
        <w:ind w:firstLine="560"/>
        <w:spacing w:line="360" w:lineRule="exact"/>
        <w:rPr>
          <w:rFonts w:hint="eastAsia" w:ascii="仿宋" w:hAnsi="仿宋" w:eastAsia="仿宋"/>
          <w:bCs/>
          <w:sz w:val="28"/>
          <w:szCs w:val="28"/>
          <w:u w:val="single"/>
        </w:rPr>
      </w:pPr>
      <w:r>
        <w:rPr>
          <w:rFonts w:hint="eastAsia" w:ascii="仿宋" w:hAnsi="仿宋" w:eastAsia="仿宋"/>
          <w:bCs/>
          <w:sz w:val="28"/>
          <w:szCs w:val="28"/>
          <w:highlight w:val="none"/>
          <w:u w:val="single"/>
        </w:rPr>
        <w:t xml:space="preserve"> 20</w:t>
      </w:r>
      <w:r>
        <w:rPr>
          <w:rFonts w:ascii="仿宋" w:hAnsi="仿宋" w:eastAsia="仿宋"/>
          <w:bCs/>
          <w:sz w:val="28"/>
          <w:szCs w:val="28"/>
          <w:highlight w:val="none"/>
          <w:u w:val="single"/>
        </w:rPr>
        <w:t xml:space="preserve">2</w:t>
      </w:r>
      <w:r>
        <w:rPr>
          <w:rFonts w:hint="eastAsia" w:ascii="仿宋" w:hAnsi="仿宋" w:eastAsia="仿宋"/>
          <w:bCs/>
          <w:sz w:val="28"/>
          <w:szCs w:val="28"/>
          <w:highlight w:val="none"/>
          <w:u w:val="single"/>
        </w:rPr>
        <w:t xml:space="preserve">5年</w:t>
      </w:r>
      <w:r>
        <w:rPr>
          <w:rFonts w:hint="eastAsia" w:ascii="仿宋" w:hAnsi="仿宋" w:eastAsia="仿宋"/>
          <w:bCs/>
          <w:sz w:val="28"/>
          <w:szCs w:val="28"/>
          <w:highlight w:val="none"/>
          <w:u w:val="single"/>
          <w:lang w:val="en-US" w:eastAsia="zh-CN"/>
        </w:rPr>
        <w:t xml:space="preserve">11</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11</w:t>
      </w:r>
      <w:r>
        <w:rPr>
          <w:rFonts w:hint="eastAsia" w:ascii="仿宋" w:hAnsi="仿宋" w:eastAsia="仿宋"/>
          <w:bCs/>
          <w:sz w:val="28"/>
          <w:szCs w:val="28"/>
          <w:highlight w:val="none"/>
          <w:u w:val="single"/>
        </w:rPr>
        <w:t xml:space="preserve">日下午14点30分</w:t>
      </w:r>
      <w:r>
        <w:rPr>
          <w:rFonts w:hint="eastAsia" w:ascii="仿宋" w:hAnsi="仿宋" w:eastAsia="仿宋"/>
          <w:bCs/>
          <w:sz w:val="28"/>
          <w:szCs w:val="28"/>
          <w:highlight w:val="none"/>
        </w:rPr>
        <w:t xml:space="preserve">（</w:t>
      </w:r>
      <w:r>
        <w:rPr>
          <w:rFonts w:hint="eastAsia" w:ascii="仿宋" w:hAnsi="仿宋" w:eastAsia="仿宋"/>
          <w:bCs/>
          <w:sz w:val="28"/>
          <w:szCs w:val="28"/>
        </w:rPr>
        <w:t xml:space="preserve">北京时间）</w:t>
      </w:r>
      <w:r/>
    </w:p>
    <w:p>
      <w:pPr>
        <w:ind w:firstLine="560"/>
        <w:spacing w:line="360" w:lineRule="exact"/>
        <w:rPr>
          <w:rFonts w:hint="eastAsia" w:ascii="仿宋" w:hAnsi="仿宋" w:eastAsia="仿宋"/>
          <w:bCs/>
          <w:sz w:val="28"/>
          <w:szCs w:val="28"/>
          <w:u w:val="single"/>
        </w:rPr>
      </w:pPr>
      <w:r>
        <w:rPr>
          <w:rFonts w:hint="eastAsia" w:ascii="仿宋" w:hAnsi="仿宋" w:eastAsia="仿宋"/>
          <w:sz w:val="28"/>
          <w:szCs w:val="28"/>
        </w:rPr>
        <w:t xml:space="preserve">地点：苏采云开标大厅</w:t>
      </w:r>
      <w:r/>
    </w:p>
    <w:p>
      <w:pPr>
        <w:pStyle w:val="894"/>
        <w:spacing w:line="360" w:lineRule="exact"/>
        <w:rPr>
          <w:rFonts w:hint="eastAsia" w:ascii="黑体" w:hAnsi="黑体" w:cs="宋体"/>
          <w:b w:val="0"/>
          <w:sz w:val="28"/>
          <w:szCs w:val="28"/>
        </w:rPr>
      </w:pPr>
      <w:r/>
      <w:bookmarkStart w:id="24" w:name="_Toc35393794"/>
      <w:r/>
      <w:bookmarkStart w:id="25" w:name="_Toc35393625"/>
      <w:r/>
      <w:bookmarkStart w:id="26" w:name="_Toc28359084"/>
      <w:r/>
      <w:bookmarkStart w:id="27" w:name="_Toc28359007"/>
      <w:r>
        <w:rPr>
          <w:rFonts w:hint="eastAsia" w:ascii="黑体" w:hAnsi="黑体" w:cs="宋体"/>
          <w:b w:val="0"/>
          <w:sz w:val="28"/>
          <w:szCs w:val="28"/>
        </w:rPr>
        <w:t xml:space="preserve">五、公告期限</w:t>
      </w:r>
      <w:bookmarkEnd w:id="24"/>
      <w:r/>
      <w:bookmarkEnd w:id="25"/>
      <w:r/>
      <w:bookmarkEnd w:id="26"/>
      <w:r/>
      <w:bookmarkEnd w:id="27"/>
      <w:r/>
      <w:r/>
    </w:p>
    <w:p>
      <w:pPr>
        <w:ind w:firstLine="560"/>
        <w:spacing w:line="36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自本公告发布之日起5个工作日。</w:t>
      </w:r>
      <w:bookmarkStart w:id="28" w:name="_Toc35393795"/>
      <w:r/>
      <w:bookmarkStart w:id="29" w:name="_Toc35393626"/>
      <w:r/>
      <w:r/>
    </w:p>
    <w:p>
      <w:pPr>
        <w:pStyle w:val="894"/>
        <w:spacing w:line="360" w:lineRule="exact"/>
        <w:rPr>
          <w:rFonts w:hint="eastAsia" w:ascii="黑体" w:hAnsi="黑体" w:cs="宋体"/>
          <w:b w:val="0"/>
          <w:sz w:val="28"/>
          <w:szCs w:val="28"/>
        </w:rPr>
      </w:pPr>
      <w:r>
        <w:rPr>
          <w:rFonts w:hint="eastAsia" w:ascii="黑体" w:hAnsi="黑体" w:cs="宋体"/>
          <w:b w:val="0"/>
          <w:sz w:val="28"/>
          <w:szCs w:val="28"/>
        </w:rPr>
        <w:t xml:space="preserve">六、其他补充事宜</w:t>
      </w:r>
      <w:bookmarkEnd w:id="28"/>
      <w:r/>
      <w:bookmarkEnd w:id="29"/>
      <w:r/>
      <w:r/>
    </w:p>
    <w:p>
      <w:pPr>
        <w:pStyle w:val="894"/>
        <w:ind w:firstLine="560"/>
        <w:spacing w:before="0" w:after="0" w:line="400" w:lineRule="exact"/>
        <w:rPr>
          <w:rFonts w:hint="eastAsia" w:ascii="仿宋" w:hAnsi="仿宋" w:eastAsia="仿宋" w:cs="宋体"/>
          <w:b w:val="0"/>
          <w:bCs w:val="0"/>
          <w:sz w:val="28"/>
          <w:szCs w:val="28"/>
        </w:rPr>
      </w:pPr>
      <w:r/>
      <w:bookmarkStart w:id="30" w:name="_Toc28359008"/>
      <w:r/>
      <w:bookmarkStart w:id="31" w:name="_Toc28359085"/>
      <w:r/>
      <w:bookmarkStart w:id="32" w:name="_Toc35393796"/>
      <w:r/>
      <w:bookmarkStart w:id="33" w:name="_Toc35393627"/>
      <w:r>
        <w:rPr>
          <w:rFonts w:hint="eastAsia" w:ascii="仿宋" w:hAnsi="仿宋" w:eastAsia="仿宋" w:cs="宋体"/>
          <w:b w:val="0"/>
          <w:bCs w:val="0"/>
          <w:sz w:val="28"/>
          <w:szCs w:val="28"/>
        </w:rPr>
        <w:t xml:space="preserve">1.</w:t>
      </w:r>
      <w:r>
        <w:rPr>
          <w:rFonts w:ascii="仿宋" w:hAnsi="仿宋" w:eastAsia="仿宋" w:cs="宋体"/>
          <w:b w:val="0"/>
          <w:bCs w:val="0"/>
          <w:sz w:val="28"/>
          <w:szCs w:val="28"/>
        </w:rPr>
        <w:t xml:space="preserve">有关本次采购的事项若存在变动或修改，敬请及时关注“</w:t>
      </w:r>
      <w:r>
        <w:rPr>
          <w:rFonts w:hint="eastAsia" w:ascii="仿宋" w:hAnsi="仿宋" w:eastAsia="仿宋" w:cs="宋体"/>
          <w:b w:val="0"/>
          <w:bCs w:val="0"/>
          <w:sz w:val="28"/>
          <w:szCs w:val="28"/>
        </w:rPr>
        <w:t xml:space="preserve">江苏政府采购网</w:t>
      </w:r>
      <w:r>
        <w:rPr>
          <w:rFonts w:ascii="仿宋" w:hAnsi="仿宋" w:eastAsia="仿宋" w:cs="宋体"/>
          <w:b w:val="0"/>
          <w:bCs w:val="0"/>
          <w:sz w:val="28"/>
          <w:szCs w:val="28"/>
        </w:rPr>
        <w:t xml:space="preserve">”发布的信息。</w:t>
      </w:r>
      <w:r/>
    </w:p>
    <w:p>
      <w:pPr>
        <w:pStyle w:val="894"/>
        <w:ind w:firstLine="560"/>
        <w:spacing w:line="400" w:lineRule="exact"/>
        <w:rPr>
          <w:rFonts w:hint="eastAsia" w:ascii="仿宋" w:hAnsi="仿宋" w:eastAsia="仿宋" w:cs="宋体"/>
          <w:b w:val="0"/>
          <w:bCs w:val="0"/>
          <w:sz w:val="28"/>
          <w:szCs w:val="28"/>
        </w:rPr>
      </w:pPr>
      <w:r>
        <w:rPr>
          <w:rFonts w:hint="eastAsia" w:ascii="仿宋" w:hAnsi="仿宋" w:eastAsia="仿宋" w:cs="宋体"/>
          <w:b w:val="0"/>
          <w:bCs w:val="0"/>
          <w:sz w:val="28"/>
          <w:szCs w:val="28"/>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投标人操作手册》（以下简称《操作手册》）。</w:t>
      </w:r>
      <w:r/>
    </w:p>
    <w:p>
      <w:pPr>
        <w:pStyle w:val="894"/>
        <w:ind w:firstLine="560"/>
        <w:spacing w:line="400" w:lineRule="exact"/>
        <w:rPr>
          <w:rFonts w:eastAsia="仿宋"/>
        </w:rPr>
      </w:pPr>
      <w:r>
        <w:rPr>
          <w:rFonts w:hint="eastAsia" w:ascii="仿宋" w:hAnsi="仿宋" w:eastAsia="仿宋" w:cs="宋体"/>
          <w:b w:val="0"/>
          <w:bCs w:val="0"/>
          <w:sz w:val="28"/>
          <w:szCs w:val="28"/>
        </w:rPr>
        <w:t xml:space="preserve">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r/>
    </w:p>
    <w:p>
      <w:pPr>
        <w:pStyle w:val="894"/>
        <w:spacing w:line="360" w:lineRule="exact"/>
        <w:rPr>
          <w:rFonts w:hint="eastAsia"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spacing w:line="400" w:lineRule="exact"/>
        <w:widowControl/>
        <w:rPr>
          <w:rFonts w:ascii="仿宋_GB2312" w:eastAsia="仿宋_GB2312"/>
          <w:sz w:val="28"/>
          <w:szCs w:val="28"/>
        </w:rPr>
      </w:pPr>
      <w:r>
        <w:rPr>
          <w:rFonts w:hint="eastAsia" w:ascii="仿宋" w:hAnsi="仿宋" w:eastAsia="仿宋" w:cs="宋体"/>
          <w:sz w:val="28"/>
          <w:szCs w:val="28"/>
        </w:rPr>
        <w:t xml:space="preserve">　　1.采购人信息</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宋工（025-57917091）   </w:t>
      </w:r>
      <w:bookmarkStart w:id="34" w:name="_Toc28359009"/>
      <w:r/>
      <w:bookmarkStart w:id="35" w:name="_Toc28359086"/>
      <w:r>
        <w:rPr>
          <w:rFonts w:hint="eastAsia" w:ascii="仿宋" w:hAnsi="仿宋" w:eastAsia="仿宋"/>
          <w:sz w:val="28"/>
          <w:szCs w:val="28"/>
          <w:u w:val="single"/>
        </w:rPr>
        <w:t xml:space="preserve">  </w:t>
      </w:r>
      <w:r/>
    </w:p>
    <w:p>
      <w:pPr>
        <w:ind w:firstLine="560"/>
        <w:spacing w:line="400" w:lineRule="exact"/>
        <w:rPr>
          <w:rFonts w:hint="eastAsia"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联系方式：</w:t>
      </w:r>
      <w:bookmarkStart w:id="36" w:name="_Toc28359087"/>
      <w:r/>
      <w:bookmarkStart w:id="37" w:name="_Toc28359010"/>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hint="eastAsia" w:ascii="仿宋" w:hAnsi="仿宋" w:eastAsia="仿宋" w:cs="宋体"/>
          <w:sz w:val="28"/>
          <w:szCs w:val="28"/>
        </w:rPr>
      </w:pPr>
      <w:r/>
      <w:bookmarkStart w:id="38" w:name="_Toc35393788"/>
      <w:r/>
      <w:bookmarkStart w:id="39" w:name="_Toc35393619"/>
      <w:r/>
      <w:bookmarkStart w:id="40" w:name="_Toc28359077"/>
      <w:r/>
      <w:bookmarkStart w:id="41" w:name="_Toc28359000"/>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448069941"/>
      <w:r/>
      <w:bookmarkStart w:id="43" w:name="_Toc11859486"/>
      <w:r/>
      <w:bookmarkStart w:id="44" w:name="_Toc1"/>
      <w:r/>
      <w:bookmarkStart w:id="45" w:name="_Toc415494524"/>
      <w:r/>
      <w:r/>
    </w:p>
    <w:p>
      <w:pPr>
        <w:jc w:val="left"/>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jc w:val="center"/>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3.1本次采购及由本次采购产生的合同受中华人民共和国有关法律法规制约和保护。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下浮</w:t>
      </w:r>
      <w:r>
        <w:rPr>
          <w:rFonts w:hint="eastAsia" w:ascii="Times New Roman" w:hAnsi="Times New Roman" w:cs="Times New Roman"/>
          <w:color w:val="000000" w:themeColor="text1"/>
          <w:sz w:val="24"/>
          <w:szCs w:val="24"/>
          <w14:textFill>
            <w14:solidFill>
              <w14:schemeClr w14:val="tx1"/>
            </w14:solidFill>
          </w14:textFill>
        </w:rPr>
        <w:t xml:space="preserve">47</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8.l在投标截止日期前，无论何种原因，采购人均可主动或在解答投标人提出的澄清问题时对采购文件进行修改。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（3）报价采取总承包方式，包括所投产品、安装调试、服务、运输、税金及其它有关的为完成本项目发生的所有费用，采购文件中另有规定的除外。国产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14.l投标文件一式</w:t>
      </w:r>
      <w:r>
        <w:rPr>
          <w:rFonts w:hint="eastAsia" w:ascii="Times New Roman" w:hAnsi="Times New Roman" w:cs="Times New Roman"/>
          <w:color w:val="000000" w:themeColor="text1"/>
          <w:sz w:val="24"/>
          <w:szCs w:val="24"/>
          <w14:textFill>
            <w14:solidFill>
              <w14:schemeClr w14:val="tx1"/>
            </w14:solidFill>
          </w14:textFill>
        </w:rPr>
        <w:t xml:space="preserve">伍</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正本壹份，副本</w:t>
      </w:r>
      <w:r>
        <w:rPr>
          <w:rFonts w:hint="eastAsia" w:ascii="Times New Roman" w:hAnsi="Times New Roman" w:cs="Times New Roman"/>
          <w:color w:val="000000" w:themeColor="text1"/>
          <w:sz w:val="24"/>
          <w:szCs w:val="24"/>
          <w14:textFill>
            <w14:solidFill>
              <w14:schemeClr w14:val="tx1"/>
            </w14:solidFill>
          </w14:textFill>
        </w:rPr>
        <w:t xml:space="preserve">肆</w:t>
      </w:r>
      <w:r>
        <w:rPr>
          <w:rFonts w:ascii="Times New Roman" w:hAnsi="Times New Roman" w:cs="Times New Roman"/>
          <w:color w:val="000000" w:themeColor="text1"/>
          <w:sz w:val="24"/>
          <w:szCs w:val="24"/>
          <w14:textFill>
            <w14:solidFill>
              <w14:schemeClr w14:val="tx1"/>
            </w14:solidFill>
          </w14:textFill>
        </w:rPr>
        <w:t xml:space="preserve">份</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。一旦正本和副本不符，以正本为准。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14.2投标文件中法定代表人或其授权代表签字。授权代表须将法人代表人以书面形式出具法人代表授权书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14.3除投标人对错处做必要修改时，投标文件不得行间插字、涂改或增删。如有修改错漏处，必须由投标文件签署人签字并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19.l采购人将在采购文件中规定的时间和地址组织公开开标。投标人法人代表或授权代表须携本人身份证原件参加，如有必要可以让投标人有一定时间的陈述，或接收评标工作组成员的提问后退场。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hint="eastAsia" w:ascii="黑体" w:hAnsi="黑体" w:eastAsia="黑体" w:cs="黑体"/>
          <w:color w:val="000000" w:themeColor="text1"/>
          <w:sz w:val="36"/>
          <w:szCs w:val="36"/>
          <w:lang w:val="zh-TW"/>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hint="eastAsia"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如投标人提交的“商务条款响应及偏离表”未填写实质性内容，则视为已接受此章的所有要求。本章节不接受偏离。</w:t>
      </w:r>
      <w:r/>
    </w:p>
    <w:p>
      <w:pPr>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br w:type="page" w:clear="all"/>
      </w:r>
      <w:r/>
    </w:p>
    <w:p>
      <w:pPr>
        <w:jc w:val="left"/>
        <w:rPr>
          <w:rFonts w:ascii="宋体" w:hAnsi="Times New Roman" w:eastAsia="宋体" w:cs="宋体"/>
          <w:color w:val="000000"/>
          <w:sz w:val="44"/>
          <w:szCs w:val="44"/>
        </w:rPr>
      </w:pPr>
      <w:r>
        <w:rPr>
          <w:rFonts w:ascii="Times New Roman" w:hAnsi="Times New Roman" w:eastAsia="宋体" w:cs="Times New Roman"/>
          <w:color w:val="000000"/>
          <w:sz w:val="24"/>
          <w:szCs w:val="24"/>
        </w:rPr>
        <mc:AlternateContent>
          <mc:Choice Requires="wpg">
            <w:drawing>
              <wp:inline xmlns:wp="http://schemas.openxmlformats.org/drawingml/2006/wordprocessingDrawing" distT="0" distB="0" distL="0" distR="0">
                <wp:extent cx="1200150" cy="471805"/>
                <wp:effectExtent l="0" t="0" r="0" b="4445"/>
                <wp:docPr id="1" name="图片 8"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说明: C:\Users\xulp\AppData\Local\Microsoft\Windows\INetCache\Content.Word\LOGO修改.jpg"/>
                        <pic:cNvPicPr>
                          <a:picLocks noChangeAspect="1"/>
                        </pic:cNvPicPr>
                        <pic:nvPr/>
                      </pic:nvPicPr>
                      <pic:blipFill>
                        <a:blip r:embed="rId16"/>
                        <a:srcRect l="0" t="0" r="3715" b="0"/>
                        <a:stretch/>
                      </pic:blipFill>
                      <pic:spPr bwMode="auto">
                        <a:xfrm>
                          <a:off x="0" y="0"/>
                          <a:ext cx="1200150" cy="471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1pt;mso-wrap-distance-left:0.0pt;mso-wrap-distance-top:0.0pt;mso-wrap-distance-right:0.0pt;mso-wrap-distance-bottom:0.0pt;" stroked="f">
                <v:path textboxrect="0,0,0,0"/>
                <v:imagedata r:id="rId16" o:title=""/>
              </v:shape>
            </w:pict>
          </mc:Fallback>
        </mc:AlternateContent>
      </w:r>
      <w:r/>
    </w:p>
    <w:p>
      <w:pPr>
        <w:jc w:val="right"/>
        <w:spacing w:line="360" w:lineRule="auto"/>
        <w:rPr>
          <w:rFonts w:hint="eastAsia" w:ascii="方正仿宋_GBK" w:hAnsi="方正仿宋_GBK" w:eastAsia="方正仿宋_GBK" w:cs="方正仿宋_GBK"/>
          <w:color w:val="000000"/>
        </w:rPr>
      </w:pPr>
      <w:r>
        <w:rPr>
          <w:rFonts w:hint="eastAsia" w:ascii="宋体" w:hAnsi="Times New Roman" w:eastAsia="宋体" w:cs="宋体"/>
          <w:color w:val="000000"/>
          <w:sz w:val="44"/>
          <w:szCs w:val="44"/>
          <w:lang w:bidi="ar"/>
        </w:rPr>
        <w:tab/>
      </w:r>
      <w:r>
        <w:rPr>
          <w:rFonts w:ascii="Times New Roman" w:hAnsi="Times New Roman" w:eastAsia="宋体" w:cs="Times New Roman"/>
          <w:color w:val="000000"/>
          <w:sz w:val="22"/>
          <w:szCs w:val="24"/>
          <w:lang w:bidi="ar"/>
        </w:rPr>
        <w:tab/>
      </w:r>
      <w:r>
        <w:rPr>
          <w:rFonts w:hint="eastAsia" w:ascii="方正仿宋_GBK" w:hAnsi="宋体" w:eastAsia="方正仿宋_GBK" w:cs="方正仿宋_GBK"/>
          <w:b/>
          <w:bCs/>
          <w:color w:val="000000"/>
          <w:sz w:val="32"/>
          <w:szCs w:val="28"/>
          <w:lang w:bidi="ar"/>
        </w:rPr>
        <w:t xml:space="preserve">协议编号：【 2025A**00** 】</w:t>
      </w:r>
      <w:r/>
    </w:p>
    <w:p>
      <w:pPr>
        <w:jc w:val="left"/>
        <w:tabs>
          <w:tab w:val="left" w:pos="7064" w:leader="none"/>
        </w:tabs>
        <w:rPr>
          <w:rFonts w:ascii="宋体" w:hAnsi="Times New Roman" w:eastAsia="宋体" w:cs="宋体"/>
          <w:color w:val="000000"/>
          <w:sz w:val="44"/>
          <w:szCs w:val="44"/>
        </w:rPr>
      </w:pPr>
      <w:r>
        <w:rPr>
          <w:rFonts w:ascii="宋体" w:hAnsi="Times New Roman" w:eastAsia="宋体" w:cs="宋体"/>
          <w:color w:val="000000"/>
          <w:sz w:val="44"/>
          <w:szCs w:val="44"/>
        </w:rPr>
      </w:r>
      <w:r/>
    </w:p>
    <w:p>
      <w:pPr>
        <w:jc w:val="center"/>
        <w:rPr>
          <w:rFonts w:ascii="宋体" w:hAnsi="Times New Roman" w:eastAsia="宋体" w:cs="宋体"/>
          <w:color w:val="000000"/>
          <w:sz w:val="44"/>
          <w:szCs w:val="44"/>
        </w:rPr>
      </w:pPr>
      <w:r>
        <w:rPr>
          <w:rFonts w:ascii="宋体" w:hAnsi="Times New Roman" w:eastAsia="宋体" w:cs="宋体"/>
          <w:color w:val="000000"/>
          <w:sz w:val="44"/>
          <w:szCs w:val="44"/>
        </w:rPr>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服</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务</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ascii="宋体" w:hAnsi="Times New Roman" w:eastAsia="宋体" w:cs="宋体"/>
          <w:color w:val="000000"/>
          <w:sz w:val="28"/>
          <w:szCs w:val="28"/>
        </w:rPr>
      </w:pPr>
      <w:r>
        <w:rPr>
          <w:rFonts w:hint="eastAsia" w:ascii="方正仿宋_GBK" w:hAnsi="宋体" w:eastAsia="方正仿宋_GBK" w:cs="方正仿宋_GBK"/>
          <w:color w:val="000000"/>
          <w:sz w:val="52"/>
          <w:szCs w:val="52"/>
          <w:lang w:bidi="ar"/>
        </w:rPr>
        <w:t xml:space="preserve">同</w:t>
      </w:r>
      <w:r/>
    </w:p>
    <w:p>
      <w:pPr>
        <w:ind w:left="1400" w:hanging="1400"/>
        <w:jc w:val="left"/>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r>
      <w:r/>
    </w:p>
    <w:p>
      <w:pPr>
        <w:ind w:left="1400" w:hanging="1400"/>
        <w:jc w:val="left"/>
        <w:rPr>
          <w:rFonts w:ascii="宋体" w:hAnsi="Times New Roman"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紫金山实验室第八届“强网”拟态防御国际精英挑战赛会务支撑服务项目  </w:t>
      </w:r>
      <w:r/>
    </w:p>
    <w:p>
      <w:pPr>
        <w:jc w:val="left"/>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jc w:val="left"/>
        <w:rPr>
          <w:rFonts w:ascii="宋体" w:hAnsi="Times New Roman" w:eastAsia="宋体" w:cs="宋体"/>
          <w:color w:val="000000"/>
          <w:sz w:val="28"/>
          <w:szCs w:val="28"/>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jc w:val="left"/>
        <w:rPr>
          <w:rFonts w:hint="eastAsia" w:ascii="等线" w:hAnsi="等线" w:eastAsia="宋体" w:cs="宋体"/>
          <w:color w:val="000000"/>
          <w:sz w:val="24"/>
          <w:szCs w:val="24"/>
          <w:lang w:bidi="ar"/>
        </w:rPr>
      </w:pPr>
      <w:r>
        <w:rPr>
          <w:rFonts w:hint="eastAsia" w:ascii="等线" w:hAnsi="等线" w:eastAsia="宋体" w:cs="宋体"/>
          <w:color w:val="000000"/>
          <w:sz w:val="24"/>
          <w:szCs w:val="24"/>
          <w:lang w:bidi="ar"/>
        </w:rPr>
        <w:br w:type="page" w:clear="all"/>
      </w:r>
      <w:r/>
    </w:p>
    <w:p>
      <w:pPr>
        <w:ind w:firstLine="480"/>
        <w:jc w:val="left"/>
        <w:spacing w:line="540" w:lineRule="exact"/>
        <w:rPr>
          <w:rFonts w:hint="eastAsia" w:ascii="等线" w:hAnsi="等线" w:eastAsia="宋体" w:cs="宋体"/>
          <w:color w:val="000000"/>
          <w:sz w:val="24"/>
          <w:szCs w:val="24"/>
          <w:lang w:bidi="ar"/>
        </w:rPr>
      </w:pPr>
      <w:r>
        <w:rPr>
          <w:rFonts w:hint="eastAsia" w:ascii="等线" w:hAnsi="等线" w:eastAsia="宋体" w:cs="宋体"/>
          <w:color w:val="000000"/>
          <w:sz w:val="24"/>
          <w:szCs w:val="24"/>
          <w:lang w:bidi="ar"/>
        </w:rPr>
        <w:t xml:space="preserve">根据《中华人民共和国政府采购法》、《中华人民共和国民法典》等法律法规的规定，甲乙双方按照招标结果签订本合同。</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第一条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合同标的</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bidi="ar"/>
        </w:rPr>
        <w:t xml:space="preserve">乙</w:t>
      </w:r>
      <w:r>
        <w:rPr>
          <w:rFonts w:hint="eastAsia" w:ascii="等线" w:hAnsi="等线" w:eastAsia="宋体" w:cs="宋体"/>
          <w:color w:val="000000"/>
          <w:sz w:val="24"/>
          <w:szCs w:val="24"/>
          <w:lang w:val="zh-CN" w:bidi="ar"/>
        </w:rPr>
        <w:t xml:space="preserve">方根据甲方需求提供下列服务：</w:t>
      </w:r>
      <w:r>
        <w:rPr>
          <w:rFonts w:hint="eastAsia" w:ascii="等线" w:hAnsi="等线" w:eastAsia="宋体" w:cs="等线"/>
          <w:color w:val="000000"/>
          <w:sz w:val="24"/>
          <w:szCs w:val="24"/>
          <w:u w:val="single"/>
          <w:lang w:val="zh-CN" w:bidi="ar"/>
        </w:rPr>
        <w:t xml:space="preserve">               </w:t>
      </w:r>
      <w:r>
        <w:rPr>
          <w:rFonts w:hint="eastAsia" w:ascii="等线" w:hAnsi="等线" w:eastAsia="宋体" w:cs="宋体"/>
          <w:color w:val="000000"/>
          <w:sz w:val="24"/>
          <w:szCs w:val="24"/>
          <w:lang w:val="zh-CN" w:bidi="ar"/>
        </w:rPr>
        <w:t xml:space="preserve">。</w:t>
      </w:r>
      <w:r/>
    </w:p>
    <w:p>
      <w:pPr>
        <w:jc w:val="left"/>
        <w:spacing w:line="540" w:lineRule="exact"/>
        <w:rPr>
          <w:rFonts w:hint="eastAsia" w:ascii="等线" w:hAnsi="等线" w:eastAsia="宋体" w:cs="等线"/>
          <w:color w:val="000000"/>
          <w:lang w:val="zh-CN"/>
        </w:rPr>
      </w:pPr>
      <w:r>
        <w:rPr>
          <w:rFonts w:hint="eastAsia" w:ascii="等线" w:hAnsi="等线" w:eastAsia="宋体" w:cs="等线"/>
          <w:color w:val="000000"/>
          <w:lang w:val="zh-CN"/>
        </w:rPr>
      </w:r>
      <w:r/>
    </w:p>
    <w:p>
      <w:pPr>
        <w:ind w:firstLine="480"/>
        <w:jc w:val="left"/>
        <w:spacing w:line="540" w:lineRule="exact"/>
        <w:rPr>
          <w:rFonts w:ascii="等线" w:hAnsi="Times New Roman" w:eastAsia="等线" w:cs="等线"/>
          <w:color w:val="000000"/>
          <w:lang w:val="zh-CN"/>
        </w:rPr>
      </w:pPr>
      <w:r>
        <w:rPr>
          <w:rFonts w:hint="eastAsia" w:ascii="等线" w:hAnsi="等线" w:eastAsia="宋体" w:cs="宋体"/>
          <w:color w:val="000000"/>
          <w:sz w:val="24"/>
          <w:szCs w:val="24"/>
          <w:lang w:bidi="ar"/>
        </w:rPr>
        <w:t xml:space="preserve">乙方</w:t>
      </w:r>
      <w:r>
        <w:rPr>
          <w:rFonts w:hint="eastAsia" w:ascii="等线" w:hAnsi="等线" w:eastAsia="宋体" w:cs="宋体"/>
          <w:color w:val="000000"/>
          <w:sz w:val="24"/>
          <w:szCs w:val="24"/>
          <w:lang w:val="zh-CN" w:bidi="ar"/>
        </w:rPr>
        <w:t xml:space="preserve">方应按照投标文件中的承诺安排专人提供本合同项下的服务，未经委托人允许不得随意更换。</w:t>
      </w:r>
      <w:r/>
    </w:p>
    <w:p>
      <w:pPr>
        <w:ind w:firstLine="420"/>
        <w:jc w:val="left"/>
        <w:spacing w:line="540" w:lineRule="exact"/>
        <w:rPr>
          <w:rFonts w:ascii="等线" w:hAnsi="Times New Roman" w:eastAsia="等线" w:cs="等线"/>
          <w:color w:val="000000"/>
          <w:lang w:val="zh-CN"/>
        </w:rPr>
      </w:pPr>
      <w:r>
        <w:rPr>
          <w:rFonts w:hint="eastAsia" w:ascii="等线" w:hAnsi="等线" w:eastAsia="宋体" w:cs="宋体"/>
          <w:b/>
          <w:bCs/>
          <w:color w:val="000000"/>
          <w:sz w:val="24"/>
          <w:szCs w:val="24"/>
          <w:lang w:val="zh-CN" w:bidi="ar"/>
        </w:rPr>
        <w:t xml:space="preserve">第二条</w:t>
      </w:r>
      <w:r>
        <w:rPr>
          <w:rFonts w:hint="eastAsia" w:ascii="等线" w:hAnsi="等线" w:eastAsia="宋体" w:cs="宋体"/>
          <w:b/>
          <w:bCs/>
          <w:color w:val="000000"/>
          <w:sz w:val="24"/>
          <w:szCs w:val="24"/>
          <w:lang w:bidi="ar"/>
        </w:rPr>
        <w:t xml:space="preserve"> </w:t>
      </w:r>
      <w:r>
        <w:rPr>
          <w:rFonts w:hint="eastAsia" w:ascii="等线" w:hAnsi="等线" w:eastAsia="宋体" w:cs="宋体"/>
          <w:b/>
          <w:bCs/>
          <w:color w:val="000000"/>
          <w:sz w:val="24"/>
          <w:szCs w:val="24"/>
          <w:lang w:val="zh-CN" w:bidi="ar"/>
        </w:rPr>
        <w:t xml:space="preserve">合同总价款</w:t>
      </w:r>
      <w:r/>
    </w:p>
    <w:p>
      <w:pPr>
        <w:ind w:firstLine="420"/>
        <w:jc w:val="left"/>
        <w:spacing w:line="540" w:lineRule="exact"/>
        <w:rPr>
          <w:rFonts w:ascii="等线" w:hAnsi="Times New Roman" w:eastAsia="等线" w:cs="等线"/>
          <w:color w:val="000000"/>
          <w:lang w:val="zh-CN"/>
        </w:rPr>
      </w:pPr>
      <w:r>
        <w:rPr>
          <w:rFonts w:hint="eastAsia" w:ascii="等线" w:hAnsi="等线" w:eastAsia="宋体" w:cs="宋体"/>
          <w:color w:val="000000"/>
          <w:sz w:val="24"/>
          <w:szCs w:val="24"/>
          <w:lang w:val="zh-CN" w:bidi="ar"/>
        </w:rPr>
        <w:t xml:space="preserve">本合同项下服务总价为</w:t>
      </w:r>
      <w:r>
        <w:rPr>
          <w:rFonts w:hint="eastAsia" w:ascii="等线" w:hAnsi="等线" w:eastAsia="宋体" w:cs="宋体"/>
          <w:color w:val="000000"/>
          <w:sz w:val="24"/>
          <w:szCs w:val="24"/>
          <w:lang w:bidi="ar"/>
        </w:rPr>
        <w:t xml:space="preserve">人民币 </w:t>
      </w:r>
      <w:r>
        <w:rPr>
          <w:rFonts w:hint="eastAsia" w:ascii="等线" w:hAnsi="等线" w:eastAsia="宋体" w:cs="宋体"/>
          <w:color w:val="000000"/>
          <w:sz w:val="24"/>
          <w:szCs w:val="24"/>
          <w:u w:val="single"/>
          <w:lang w:bidi="ar"/>
        </w:rPr>
        <w:t xml:space="preserve">      元</w:t>
      </w:r>
      <w:r>
        <w:rPr>
          <w:rFonts w:hint="eastAsia" w:ascii="等线" w:hAnsi="等线" w:eastAsia="宋体" w:cs="宋体"/>
          <w:color w:val="000000"/>
          <w:sz w:val="24"/>
          <w:szCs w:val="24"/>
          <w:lang w:bidi="ar"/>
        </w:rPr>
        <w:t xml:space="preserve">（大写）（</w:t>
      </w:r>
      <w:r>
        <w:rPr>
          <w:rFonts w:ascii="µÈÏß Western" w:hAnsi="µÈÏß Western" w:eastAsia="µÈÏß Western" w:cs="µÈÏß Western"/>
          <w:color w:val="000000"/>
          <w:sz w:val="24"/>
          <w:szCs w:val="24"/>
          <w:lang w:bidi="ar"/>
        </w:rPr>
        <w:t xml:space="preserve">¥</w:t>
      </w:r>
      <w:r>
        <w:rPr>
          <w:rFonts w:ascii="µÈÏß Western" w:hAnsi="µÈÏß Western" w:eastAsia="µÈÏß Western" w:cs="µÈÏß Western"/>
          <w:color w:val="000000"/>
          <w:sz w:val="24"/>
          <w:szCs w:val="24"/>
          <w:u w:val="single"/>
          <w:lang w:bidi="ar"/>
        </w:rPr>
        <w:t xml:space="preserve">   </w:t>
      </w:r>
      <w:r>
        <w:rPr>
          <w:rFonts w:hint="eastAsia" w:ascii="等线" w:hAnsi="等线" w:eastAsia="宋体" w:cs="宋体"/>
          <w:color w:val="000000"/>
          <w:sz w:val="24"/>
          <w:szCs w:val="24"/>
          <w:lang w:bidi="ar"/>
        </w:rPr>
        <w:t xml:space="preserve">元）</w:t>
      </w:r>
      <w:r>
        <w:rPr>
          <w:rFonts w:hint="eastAsia" w:ascii="等线" w:hAnsi="等线" w:eastAsia="宋体" w:cs="宋体"/>
          <w:color w:val="000000"/>
          <w:sz w:val="24"/>
          <w:szCs w:val="24"/>
          <w:lang w:val="zh-CN" w:bidi="ar"/>
        </w:rPr>
        <w:t xml:space="preserve">，分项价款详见“附件：分项报价表”，（如有）。</w:t>
      </w:r>
      <w:r/>
    </w:p>
    <w:p>
      <w:pPr>
        <w:ind w:firstLine="480"/>
        <w:jc w:val="left"/>
        <w:spacing w:line="540" w:lineRule="exact"/>
        <w:rPr>
          <w:rFonts w:ascii="等线" w:hAnsi="Times New Roman" w:eastAsia="等线" w:cs="等线"/>
          <w:b/>
          <w:color w:val="000000"/>
        </w:rPr>
      </w:pPr>
      <w:r>
        <w:rPr>
          <w:rFonts w:hint="eastAsia" w:ascii="等线" w:hAnsi="等线" w:eastAsia="宋体" w:cs="宋体"/>
          <w:color w:val="000000"/>
          <w:sz w:val="24"/>
          <w:szCs w:val="24"/>
          <w:lang w:val="zh-CN" w:bidi="ar"/>
        </w:rPr>
        <w:t xml:space="preserve">本合同总价款包含乙方提供服务发生的所有含税费用、支付给员工的工资和国家强制缴纳的各种社会保障资金，以及投标人认为需要的其他费用等。</w:t>
      </w:r>
      <w:r/>
    </w:p>
    <w:p>
      <w:pPr>
        <w:ind w:firstLine="420"/>
        <w:jc w:val="left"/>
        <w:spacing w:line="540" w:lineRule="exact"/>
        <w:widowControl/>
        <w:rPr>
          <w:rFonts w:ascii="等线" w:hAnsi="Times New Roman" w:eastAsia="等线" w:cs="宋体"/>
          <w:color w:val="000000"/>
          <w:lang w:val="zh-CN"/>
        </w:rPr>
      </w:pPr>
      <w:r>
        <w:rPr>
          <w:rFonts w:hint="eastAsia" w:ascii="等线" w:hAnsi="等线" w:eastAsia="宋体" w:cs="宋体"/>
          <w:color w:val="000000"/>
          <w:sz w:val="24"/>
          <w:szCs w:val="24"/>
          <w:lang w:val="zh-CN" w:bidi="ar"/>
        </w:rPr>
        <w:t xml:space="preserve">本合同总价款还包含</w:t>
      </w:r>
      <w:r>
        <w:rPr>
          <w:rFonts w:hint="eastAsia" w:ascii="等线" w:hAnsi="等线" w:eastAsia="宋体" w:cs="宋体"/>
          <w:color w:val="000000"/>
          <w:sz w:val="24"/>
          <w:szCs w:val="24"/>
          <w:lang w:bidi="ar"/>
        </w:rPr>
        <w:t xml:space="preserve">乙</w:t>
      </w:r>
      <w:r>
        <w:rPr>
          <w:rFonts w:hint="eastAsia" w:ascii="等线" w:hAnsi="等线" w:eastAsia="宋体" w:cs="宋体"/>
          <w:color w:val="000000"/>
          <w:sz w:val="24"/>
          <w:szCs w:val="24"/>
          <w:lang w:val="zh-CN" w:bidi="ar"/>
        </w:rPr>
        <w:t xml:space="preserve">方应当提供的伴随服务/售后服务费用。</w:t>
      </w:r>
      <w:r/>
    </w:p>
    <w:p>
      <w:pPr>
        <w:ind w:firstLine="420"/>
        <w:jc w:val="left"/>
        <w:spacing w:line="540" w:lineRule="exact"/>
        <w:rPr>
          <w:rFonts w:ascii="等线" w:hAnsi="Times New Roman" w:eastAsia="等线" w:cs="等线"/>
          <w:color w:val="000000"/>
          <w:lang w:val="zh-CN"/>
        </w:rPr>
      </w:pPr>
      <w:r>
        <w:rPr>
          <w:rFonts w:hint="eastAsia" w:ascii="等线" w:hAnsi="等线" w:eastAsia="宋体" w:cs="宋体"/>
          <w:color w:val="000000"/>
          <w:sz w:val="24"/>
          <w:szCs w:val="24"/>
          <w:lang w:val="zh-CN" w:bidi="ar"/>
        </w:rPr>
        <w:t xml:space="preserve">本合同执行期间合同单价不变。</w:t>
      </w:r>
      <w:r/>
    </w:p>
    <w:p>
      <w:pPr>
        <w:ind w:firstLine="472"/>
        <w:jc w:val="left"/>
        <w:spacing w:line="540" w:lineRule="exact"/>
        <w:rPr>
          <w:rFonts w:ascii="等线" w:hAnsi="Times New Roman" w:eastAsia="等线" w:cs="等线"/>
          <w:color w:val="000000"/>
          <w:lang w:val="zh-CN"/>
        </w:rPr>
      </w:pPr>
      <w:r>
        <w:rPr>
          <w:rFonts w:hint="eastAsia" w:ascii="等线" w:hAnsi="等线" w:eastAsia="宋体" w:cs="宋体"/>
          <w:b/>
          <w:bCs/>
          <w:color w:val="000000"/>
          <w:sz w:val="24"/>
          <w:szCs w:val="24"/>
          <w:lang w:val="zh-CN" w:bidi="ar"/>
        </w:rPr>
        <w:t xml:space="preserve">第三条</w:t>
      </w:r>
      <w:r>
        <w:rPr>
          <w:rFonts w:hint="eastAsia" w:ascii="等线" w:hAnsi="等线" w:eastAsia="宋体" w:cs="宋体"/>
          <w:b/>
          <w:bCs/>
          <w:color w:val="000000"/>
          <w:sz w:val="24"/>
          <w:szCs w:val="24"/>
          <w:lang w:bidi="ar"/>
        </w:rPr>
        <w:t xml:space="preserve"> </w:t>
      </w:r>
      <w:r>
        <w:rPr>
          <w:rFonts w:hint="eastAsia" w:ascii="等线" w:hAnsi="等线" w:eastAsia="宋体" w:cs="宋体"/>
          <w:b/>
          <w:bCs/>
          <w:color w:val="000000"/>
          <w:sz w:val="24"/>
          <w:szCs w:val="24"/>
          <w:lang w:val="zh-CN" w:bidi="ar"/>
        </w:rPr>
        <w:t xml:space="preserve">组成本合同的有关文件</w:t>
      </w:r>
      <w:r/>
    </w:p>
    <w:p>
      <w:pPr>
        <w:ind w:firstLine="47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下列关于紫金山实验室</w:t>
      </w:r>
      <w:r>
        <w:rPr>
          <w:rFonts w:hint="eastAsia" w:ascii="等线" w:hAnsi="等线" w:eastAsia="宋体" w:cs="等线"/>
          <w:color w:val="000000"/>
          <w:sz w:val="24"/>
          <w:szCs w:val="24"/>
          <w:u w:val="single"/>
          <w:lang w:val="zh-CN" w:bidi="ar"/>
        </w:rPr>
        <w:t xml:space="preserve">          </w:t>
      </w:r>
      <w:r>
        <w:rPr>
          <w:rFonts w:hint="eastAsia" w:ascii="等线" w:hAnsi="等线" w:eastAsia="宋体" w:cs="宋体"/>
          <w:color w:val="000000"/>
          <w:sz w:val="24"/>
          <w:szCs w:val="24"/>
          <w:lang w:val="zh-CN" w:bidi="ar"/>
        </w:rPr>
        <w:t xml:space="preserve">号标的采购文件及有关附件是本合同不可分割的组成部分，与本合同具有同等法律效力，这些文件包括但不限于：</w:t>
      </w:r>
      <w:r/>
    </w:p>
    <w:p>
      <w:pPr>
        <w:ind w:firstLine="47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1</w:t>
      </w:r>
      <w:r>
        <w:rPr>
          <w:rFonts w:hint="eastAsia" w:ascii="等线" w:hAnsi="等线" w:eastAsia="宋体" w:cs="宋体"/>
          <w:color w:val="000000"/>
          <w:sz w:val="24"/>
          <w:szCs w:val="24"/>
          <w:lang w:val="zh-CN" w:bidi="ar"/>
        </w:rPr>
        <w:t xml:space="preserve">）乙方提供的投标文件和报价表；（</w:t>
      </w:r>
      <w:r>
        <w:rPr>
          <w:rFonts w:hint="eastAsia" w:ascii="等线" w:hAnsi="等线" w:eastAsia="宋体" w:cs="等线"/>
          <w:color w:val="000000"/>
          <w:sz w:val="24"/>
          <w:szCs w:val="24"/>
          <w:lang w:val="zh-CN" w:bidi="ar"/>
        </w:rPr>
        <w:t xml:space="preserve">2</w:t>
      </w:r>
      <w:r>
        <w:rPr>
          <w:rFonts w:hint="eastAsia" w:ascii="等线" w:hAnsi="等线" w:eastAsia="宋体" w:cs="宋体"/>
          <w:color w:val="000000"/>
          <w:sz w:val="24"/>
          <w:szCs w:val="24"/>
          <w:lang w:val="zh-CN" w:bidi="ar"/>
        </w:rPr>
        <w:t xml:space="preserve">）函件；</w:t>
      </w:r>
      <w:r/>
    </w:p>
    <w:p>
      <w:pPr>
        <w:ind w:firstLine="47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3</w:t>
      </w:r>
      <w:r>
        <w:rPr>
          <w:rFonts w:hint="eastAsia" w:ascii="等线" w:hAnsi="等线" w:eastAsia="宋体" w:cs="宋体"/>
          <w:color w:val="000000"/>
          <w:sz w:val="24"/>
          <w:szCs w:val="24"/>
          <w:lang w:val="zh-CN" w:bidi="ar"/>
        </w:rPr>
        <w:t xml:space="preserve">）分项报价表；</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4</w:t>
      </w:r>
      <w:r>
        <w:rPr>
          <w:rFonts w:hint="eastAsia" w:ascii="等线" w:hAnsi="等线" w:eastAsia="宋体" w:cs="宋体"/>
          <w:color w:val="000000"/>
          <w:sz w:val="24"/>
          <w:szCs w:val="24"/>
          <w:lang w:val="zh-CN" w:bidi="ar"/>
        </w:rPr>
        <w:t xml:space="preserve">）项目实施方案与服务说明；</w:t>
      </w:r>
      <w:r/>
    </w:p>
    <w:p>
      <w:pPr>
        <w:ind w:firstLine="47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5</w:t>
      </w:r>
      <w:r>
        <w:rPr>
          <w:rFonts w:hint="eastAsia" w:ascii="等线" w:hAnsi="等线" w:eastAsia="宋体" w:cs="宋体"/>
          <w:color w:val="000000"/>
          <w:sz w:val="24"/>
          <w:szCs w:val="24"/>
          <w:lang w:val="zh-CN" w:bidi="ar"/>
        </w:rPr>
        <w:t xml:space="preserve">）偏离表及说明；</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6</w:t>
      </w:r>
      <w:r>
        <w:rPr>
          <w:rFonts w:hint="eastAsia" w:ascii="等线" w:hAnsi="等线" w:eastAsia="宋体" w:cs="宋体"/>
          <w:color w:val="000000"/>
          <w:sz w:val="24"/>
          <w:szCs w:val="24"/>
          <w:lang w:val="zh-CN" w:bidi="ar"/>
        </w:rPr>
        <w:t xml:space="preserve">）服务承诺；</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7</w:t>
      </w:r>
      <w:r>
        <w:rPr>
          <w:rFonts w:hint="eastAsia" w:ascii="等线" w:hAnsi="等线" w:eastAsia="宋体" w:cs="宋体"/>
          <w:color w:val="000000"/>
          <w:sz w:val="24"/>
          <w:szCs w:val="24"/>
          <w:lang w:val="zh-CN" w:bidi="ar"/>
        </w:rPr>
        <w:t xml:space="preserve">）中标通知书；</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w:t>
      </w:r>
      <w:r>
        <w:rPr>
          <w:rFonts w:hint="eastAsia" w:ascii="等线" w:hAnsi="等线" w:eastAsia="宋体" w:cs="等线"/>
          <w:color w:val="000000"/>
          <w:sz w:val="24"/>
          <w:szCs w:val="24"/>
          <w:lang w:val="zh-CN" w:bidi="ar"/>
        </w:rPr>
        <w:t xml:space="preserve">8</w:t>
      </w:r>
      <w:r>
        <w:rPr>
          <w:rFonts w:hint="eastAsia" w:ascii="等线" w:hAnsi="等线" w:eastAsia="宋体" w:cs="宋体"/>
          <w:color w:val="000000"/>
          <w:sz w:val="24"/>
          <w:szCs w:val="24"/>
          <w:lang w:val="zh-CN" w:bidi="ar"/>
        </w:rPr>
        <w:t xml:space="preserve">）甲乙</w:t>
      </w:r>
      <w:r>
        <w:rPr>
          <w:rFonts w:hint="eastAsia" w:ascii="等线" w:hAnsi="等线" w:eastAsia="宋体" w:cs="宋体"/>
          <w:color w:val="000000"/>
          <w:sz w:val="24"/>
          <w:szCs w:val="24"/>
          <w:lang w:bidi="ar"/>
        </w:rPr>
        <w:t xml:space="preserve">双</w:t>
      </w:r>
      <w:r>
        <w:rPr>
          <w:rFonts w:hint="eastAsia" w:ascii="等线" w:hAnsi="等线" w:eastAsia="宋体" w:cs="宋体"/>
          <w:color w:val="000000"/>
          <w:sz w:val="24"/>
          <w:szCs w:val="24"/>
          <w:lang w:val="zh-CN" w:bidi="ar"/>
        </w:rPr>
        <w:t xml:space="preserve">方商定的其他文件等。</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第四条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保密及知识产权</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bidi="ar"/>
        </w:rPr>
        <w:t xml:space="preserve">乙</w:t>
      </w:r>
      <w:r>
        <w:rPr>
          <w:rFonts w:hint="eastAsia" w:ascii="等线" w:hAnsi="等线" w:eastAsia="宋体" w:cs="宋体"/>
          <w:color w:val="000000"/>
          <w:sz w:val="24"/>
          <w:szCs w:val="24"/>
          <w:lang w:val="zh-CN" w:bidi="ar"/>
        </w:rPr>
        <w:t xml:space="preserve">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2.</w:t>
      </w:r>
      <w:r>
        <w:rPr>
          <w:rFonts w:hint="eastAsia" w:ascii="等线" w:hAnsi="等线" w:eastAsia="宋体" w:cs="宋体"/>
          <w:color w:val="000000"/>
          <w:sz w:val="24"/>
          <w:szCs w:val="24"/>
          <w:lang w:val="zh-CN" w:bidi="ar"/>
        </w:rPr>
        <w:t xml:space="preserve">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3.</w:t>
      </w:r>
      <w:r>
        <w:rPr>
          <w:rFonts w:hint="eastAsia" w:ascii="等线" w:hAnsi="等线" w:eastAsia="宋体" w:cs="宋体"/>
          <w:color w:val="000000"/>
          <w:sz w:val="24"/>
          <w:szCs w:val="24"/>
          <w:lang w:val="zh-CN" w:bidi="ar"/>
        </w:rPr>
        <w:t xml:space="preserve">本项目所产生的一切成果及知识产权均归甲方所有。乙方不得以任何方式向第三方披露、转让、发表和许可使用有关的成果、信息、资料和文件。</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第五条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服务保证</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val="zh-CN" w:bidi="ar"/>
        </w:rPr>
        <w:t xml:space="preserve">乙方所提供的服务应与采购文件规定的要求及所附的偏离表相一致；若无特殊说明，按国家有关部门颁布的标准及规范为准。</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bidi="ar"/>
        </w:rPr>
        <w:t xml:space="preserve">2.</w:t>
      </w:r>
      <w:r>
        <w:rPr>
          <w:rFonts w:hint="eastAsia" w:ascii="等线" w:hAnsi="等线" w:eastAsia="宋体" w:cs="宋体"/>
          <w:color w:val="000000"/>
          <w:sz w:val="24"/>
          <w:szCs w:val="24"/>
          <w:lang w:val="zh-CN" w:bidi="ar"/>
        </w:rPr>
        <w:t xml:space="preserve">乙方应保证服务完全符合合同规定的要求。</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第六条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交付和验收</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val="zh-CN" w:bidi="ar"/>
        </w:rPr>
        <w:t xml:space="preserve">乙方应当在合同签订后</w:t>
      </w:r>
      <w:r>
        <w:rPr>
          <w:rFonts w:hint="eastAsia" w:ascii="等线" w:hAnsi="等线" w:eastAsia="宋体" w:cs="等线"/>
          <w:color w:val="000000"/>
          <w:sz w:val="24"/>
          <w:szCs w:val="24"/>
          <w:u w:val="single"/>
          <w:lang w:val="zh-CN" w:bidi="ar"/>
        </w:rPr>
        <w:t xml:space="preserve">    </w:t>
      </w:r>
      <w:r>
        <w:rPr>
          <w:rFonts w:hint="eastAsia" w:ascii="等线" w:hAnsi="等线" w:eastAsia="宋体" w:cs="宋体"/>
          <w:color w:val="000000"/>
          <w:sz w:val="24"/>
          <w:szCs w:val="24"/>
          <w:lang w:val="zh-CN" w:bidi="ar"/>
        </w:rPr>
        <w:t xml:space="preserve">天内交付下列服务成果：</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2.</w:t>
      </w:r>
      <w:r>
        <w:rPr>
          <w:rFonts w:hint="eastAsia" w:ascii="等线" w:hAnsi="等线" w:eastAsia="宋体" w:cs="宋体"/>
          <w:color w:val="000000"/>
          <w:sz w:val="24"/>
          <w:szCs w:val="24"/>
          <w:lang w:val="zh-CN" w:bidi="ar"/>
        </w:rPr>
        <w:t xml:space="preserve">乙方交付的服务成果应当完全符合本合同、采购文件和投标文件所规定的要求。甲方自行组织或视情邀请相关专家或国家认可的检测鉴定机构参加验收，如乙方提供的服务成果不符合前述要求的，甲方有权拒收，由此引起的风险和责任包括不限于验收费用，由乙方承担。</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第七条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合同款支付</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val="zh-CN" w:bidi="ar"/>
        </w:rPr>
        <w:t xml:space="preserve">本合同项下所有款项均以人民币支付。</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2.</w:t>
      </w:r>
      <w:r>
        <w:rPr>
          <w:rFonts w:hint="eastAsia" w:ascii="等线" w:hAnsi="等线" w:eastAsia="宋体" w:cs="宋体"/>
          <w:color w:val="000000"/>
          <w:sz w:val="24"/>
          <w:szCs w:val="24"/>
          <w:lang w:val="zh-CN" w:bidi="ar"/>
        </w:rPr>
        <w:t xml:space="preserve">付款方式：</w:t>
      </w:r>
      <w:r>
        <w:rPr>
          <w:rFonts w:hint="eastAsia" w:ascii="等线" w:hAnsi="等线" w:eastAsia="宋体" w:cs="等线"/>
          <w:color w:val="000000"/>
          <w:sz w:val="24"/>
          <w:szCs w:val="24"/>
          <w:lang w:val="zh-CN" w:bidi="ar"/>
        </w:rPr>
        <w:t xml:space="preserve"> </w:t>
      </w:r>
      <w:r/>
    </w:p>
    <w:p>
      <w:pPr>
        <w:ind w:firstLine="420"/>
        <w:jc w:val="left"/>
        <w:spacing w:line="540" w:lineRule="exact"/>
        <w:rPr>
          <w:rFonts w:hint="eastAsia" w:ascii="等线" w:hAnsi="等线" w:eastAsia="宋体" w:cs="宋体"/>
          <w:color w:val="000000"/>
          <w:sz w:val="24"/>
          <w:szCs w:val="24"/>
          <w:lang w:val="zh-CN" w:bidi="ar"/>
        </w:rPr>
      </w:pPr>
      <w:r>
        <w:rPr>
          <w:rFonts w:hint="eastAsia" w:ascii="等线" w:hAnsi="等线" w:eastAsia="宋体" w:cs="宋体"/>
          <w:color w:val="000000"/>
          <w:sz w:val="24"/>
          <w:szCs w:val="24"/>
          <w:lang w:bidi="ar"/>
        </w:rPr>
        <w:t xml:space="preserve">合同签订后，测试服务交付完成且验收合格后，甲方支付70万元测试服务费。乙方收到测试服务费后5个工作日内向参赛选手支付测试服务费；</w:t>
      </w:r>
      <w:r>
        <w:rPr>
          <w:rFonts w:hint="eastAsia" w:ascii="等线" w:hAnsi="等线" w:eastAsia="宋体" w:cs="宋体"/>
          <w:color w:val="000000"/>
          <w:sz w:val="24"/>
          <w:szCs w:val="24"/>
          <w:lang w:val="zh-CN" w:bidi="ar"/>
        </w:rPr>
        <w:t xml:space="preserve">合同签订后甲方支付合同总价</w:t>
      </w:r>
      <w:r>
        <w:rPr>
          <w:rFonts w:hint="eastAsia" w:ascii="等线" w:hAnsi="等线" w:eastAsia="宋体" w:cs="宋体"/>
          <w:color w:val="000000"/>
          <w:sz w:val="24"/>
          <w:szCs w:val="24"/>
          <w:lang w:bidi="ar"/>
        </w:rPr>
        <w:t xml:space="preserve">扣除测试服务费</w:t>
      </w:r>
      <w:r>
        <w:rPr>
          <w:rFonts w:hint="eastAsia" w:ascii="等线" w:hAnsi="等线" w:eastAsia="宋体" w:cs="宋体"/>
          <w:color w:val="000000"/>
          <w:sz w:val="24"/>
          <w:szCs w:val="24"/>
          <w:lang w:val="zh-CN" w:bidi="ar"/>
        </w:rPr>
        <w:t xml:space="preserve">的30%作为预付款；赛事活动顺利结束后，经甲方验收合格，支付至合同总价</w:t>
      </w:r>
      <w:r>
        <w:rPr>
          <w:rFonts w:hint="eastAsia" w:ascii="等线" w:hAnsi="等线" w:eastAsia="宋体" w:cs="宋体"/>
          <w:color w:val="000000"/>
          <w:sz w:val="24"/>
          <w:szCs w:val="24"/>
          <w:lang w:bidi="ar"/>
        </w:rPr>
        <w:t xml:space="preserve">扣除测试服务费</w:t>
      </w:r>
      <w:r>
        <w:rPr>
          <w:rFonts w:hint="eastAsia" w:ascii="等线" w:hAnsi="等线" w:eastAsia="宋体" w:cs="宋体"/>
          <w:color w:val="000000"/>
          <w:sz w:val="24"/>
          <w:szCs w:val="24"/>
          <w:lang w:val="zh-CN" w:bidi="ar"/>
        </w:rPr>
        <w:t xml:space="preserve">的80%；经甲方组织审计后，按审计金额支付剩余合同金额。</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在甲方支付尾款前，乙方先行向甲方开具全额增值税发票，否则甲方有权迟延支付相应款项且不影响乙方履行本合同项下的义务。</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甲方开票信息：</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单位名称：紫金山实验室</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税号：</w:t>
      </w:r>
      <w:r>
        <w:rPr>
          <w:rFonts w:hint="eastAsia" w:ascii="等线" w:hAnsi="等线" w:eastAsia="宋体" w:cs="等线"/>
          <w:color w:val="000000"/>
          <w:sz w:val="24"/>
          <w:szCs w:val="24"/>
          <w:lang w:val="zh-CN" w:bidi="ar"/>
        </w:rPr>
        <w:t xml:space="preserve">12320100MB19771475  </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开户银行、账号：中国建设银行股份有限公司南京九龙湖支行</w:t>
      </w:r>
      <w:r>
        <w:rPr>
          <w:rFonts w:hint="eastAsia" w:ascii="等线" w:hAnsi="等线" w:eastAsia="宋体" w:cs="等线"/>
          <w:color w:val="000000"/>
          <w:sz w:val="24"/>
          <w:szCs w:val="24"/>
          <w:lang w:val="zh-CN" w:bidi="ar"/>
        </w:rPr>
        <w:t xml:space="preserve">32050159604400000585</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乙方账户信息：</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开户名：</w:t>
      </w:r>
      <w:r>
        <w:rPr>
          <w:rFonts w:hint="eastAsia" w:ascii="等线" w:hAnsi="等线" w:eastAsia="宋体" w:cs="等线"/>
          <w:color w:val="000000"/>
          <w:sz w:val="24"/>
          <w:szCs w:val="24"/>
          <w:lang w:val="zh-CN" w:bidi="ar"/>
        </w:rPr>
        <w:t xml:space="preserve"> </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开户行：</w:t>
      </w:r>
      <w:r/>
    </w:p>
    <w:p>
      <w:pPr>
        <w:ind w:firstLine="420"/>
        <w:jc w:val="left"/>
        <w:spacing w:line="540" w:lineRule="exact"/>
        <w:rPr>
          <w:rFonts w:hint="eastAsia" w:ascii="等线" w:hAnsi="等线" w:eastAsia="宋体" w:cs="宋体"/>
          <w:color w:val="000000"/>
          <w:sz w:val="24"/>
          <w:szCs w:val="24"/>
          <w:lang w:val="zh-CN" w:bidi="ar"/>
        </w:rPr>
      </w:pPr>
      <w:r>
        <w:rPr>
          <w:rFonts w:hint="eastAsia" w:ascii="等线" w:hAnsi="等线" w:eastAsia="宋体" w:cs="宋体"/>
          <w:color w:val="000000"/>
          <w:sz w:val="24"/>
          <w:szCs w:val="24"/>
          <w:lang w:val="zh-CN" w:bidi="ar"/>
        </w:rPr>
        <w:t xml:space="preserve">账  号：</w:t>
      </w:r>
      <w:r/>
    </w:p>
    <w:p>
      <w:pPr>
        <w:ind w:firstLine="420"/>
        <w:jc w:val="left"/>
        <w:spacing w:line="540" w:lineRule="exact"/>
        <w:rPr>
          <w:lang w:val="zh-CN" w:bidi="ar"/>
        </w:rPr>
      </w:pPr>
      <w:r>
        <w:rPr>
          <w:rFonts w:hint="eastAsia" w:ascii="等线" w:hAnsi="等线" w:eastAsia="宋体" w:cs="宋体"/>
          <w:color w:val="000000"/>
          <w:sz w:val="24"/>
          <w:szCs w:val="24"/>
          <w:lang w:val="zh-CN" w:bidi="ar"/>
        </w:rPr>
        <w:t xml:space="preserve">税  号：</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第八条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违约责任</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bidi="ar"/>
        </w:rPr>
        <w:t xml:space="preserve">1.</w:t>
      </w:r>
      <w:r>
        <w:rPr>
          <w:rFonts w:hint="eastAsia" w:ascii="等线" w:hAnsi="等线" w:eastAsia="宋体" w:cs="宋体"/>
          <w:color w:val="000000"/>
          <w:sz w:val="24"/>
          <w:szCs w:val="24"/>
          <w:lang w:val="zh-CN" w:bidi="ar"/>
        </w:rPr>
        <w:t xml:space="preserve">甲方在合同内容范围内无正当理由拒收服务、拒付款的，违约方向乙方偿付各自合同范围总价的</w:t>
      </w:r>
      <w:r>
        <w:rPr>
          <w:rFonts w:hint="eastAsia" w:ascii="等线" w:hAnsi="等线" w:eastAsia="宋体" w:cs="等线"/>
          <w:color w:val="000000"/>
          <w:sz w:val="24"/>
          <w:szCs w:val="24"/>
          <w:lang w:val="zh-CN" w:bidi="ar"/>
        </w:rPr>
        <w:t xml:space="preserve">5%</w:t>
      </w:r>
      <w:r>
        <w:rPr>
          <w:rFonts w:hint="eastAsia" w:ascii="等线" w:hAnsi="等线" w:eastAsia="宋体" w:cs="宋体"/>
          <w:color w:val="000000"/>
          <w:sz w:val="24"/>
          <w:szCs w:val="24"/>
          <w:lang w:val="zh-CN" w:bidi="ar"/>
        </w:rPr>
        <w:t xml:space="preserve">违约金。</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bidi="ar"/>
        </w:rPr>
        <w:t xml:space="preserve">2.</w:t>
      </w:r>
      <w:r>
        <w:rPr>
          <w:rFonts w:hint="eastAsia" w:ascii="等线" w:hAnsi="等线" w:eastAsia="宋体" w:cs="宋体"/>
          <w:color w:val="000000"/>
          <w:sz w:val="24"/>
          <w:szCs w:val="24"/>
          <w:lang w:val="zh-CN" w:bidi="ar"/>
        </w:rPr>
        <w:t xml:space="preserve">甲方在合同内容范围内未按合同规定的期限向乙方支付款项的，每逾期</w:t>
      </w:r>
      <w:r>
        <w:rPr>
          <w:rFonts w:hint="eastAsia" w:ascii="等线" w:hAnsi="等线" w:eastAsia="宋体" w:cs="等线"/>
          <w:color w:val="000000"/>
          <w:sz w:val="24"/>
          <w:szCs w:val="24"/>
          <w:lang w:val="zh-CN" w:bidi="ar"/>
        </w:rPr>
        <w:t xml:space="preserve">1</w:t>
      </w:r>
      <w:r>
        <w:rPr>
          <w:rFonts w:hint="eastAsia" w:ascii="等线" w:hAnsi="等线" w:eastAsia="宋体" w:cs="宋体"/>
          <w:color w:val="000000"/>
          <w:sz w:val="24"/>
          <w:szCs w:val="24"/>
          <w:lang w:val="zh-CN" w:bidi="ar"/>
        </w:rPr>
        <w:t xml:space="preserve">天违约方向乙方偿付各自合同范围欠款总额的</w:t>
      </w:r>
      <w:r>
        <w:rPr>
          <w:rFonts w:hint="eastAsia" w:ascii="等线" w:hAnsi="等线" w:eastAsia="宋体" w:cs="等线"/>
          <w:color w:val="000000"/>
          <w:sz w:val="24"/>
          <w:szCs w:val="24"/>
          <w:lang w:val="zh-CN" w:bidi="ar"/>
        </w:rPr>
        <w:t xml:space="preserve">5</w:t>
      </w:r>
      <w:r>
        <w:rPr>
          <w:rFonts w:hint="eastAsia" w:ascii="等线" w:hAnsi="等线" w:eastAsia="宋体" w:cs="宋体"/>
          <w:color w:val="000000"/>
          <w:sz w:val="24"/>
          <w:szCs w:val="24"/>
          <w:lang w:val="zh-CN" w:bidi="ar"/>
        </w:rPr>
        <w:t xml:space="preserve">‰滞纳金，但累计滞纳金总额不超过欠款总额的</w:t>
      </w:r>
      <w:r>
        <w:rPr>
          <w:rFonts w:hint="eastAsia" w:ascii="等线" w:hAnsi="等线" w:eastAsia="宋体" w:cs="等线"/>
          <w:color w:val="000000"/>
          <w:sz w:val="24"/>
          <w:szCs w:val="24"/>
          <w:lang w:val="zh-CN" w:bidi="ar"/>
        </w:rPr>
        <w:t xml:space="preserve">5% </w:t>
      </w:r>
      <w:r>
        <w:rPr>
          <w:rFonts w:hint="eastAsia" w:ascii="等线" w:hAnsi="等线" w:eastAsia="宋体" w:cs="宋体"/>
          <w:color w:val="000000"/>
          <w:sz w:val="24"/>
          <w:szCs w:val="24"/>
          <w:lang w:val="zh-CN" w:bidi="ar"/>
        </w:rPr>
        <w:t xml:space="preserve">。</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bidi="ar"/>
        </w:rPr>
        <w:t xml:space="preserve">3.</w:t>
      </w:r>
      <w:r>
        <w:rPr>
          <w:rFonts w:hint="eastAsia" w:ascii="等线" w:hAnsi="等线" w:eastAsia="宋体" w:cs="宋体"/>
          <w:color w:val="000000"/>
          <w:sz w:val="24"/>
          <w:szCs w:val="24"/>
          <w:lang w:val="zh-CN" w:bidi="ar"/>
        </w:rPr>
        <w:t xml:space="preserve">如乙方不能按合同约定提供服务、交付服务成果的，甲方在合同内容范围内有权要求乙方支付相应合同范围总价</w:t>
      </w:r>
      <w:r>
        <w:rPr>
          <w:rFonts w:hint="eastAsia" w:ascii="等线" w:hAnsi="等线" w:eastAsia="宋体" w:cs="等线"/>
          <w:color w:val="000000"/>
          <w:sz w:val="24"/>
          <w:szCs w:val="24"/>
          <w:lang w:val="zh-CN" w:bidi="ar"/>
        </w:rPr>
        <w:t xml:space="preserve">5%</w:t>
      </w:r>
      <w:r>
        <w:rPr>
          <w:rFonts w:hint="eastAsia" w:ascii="等线" w:hAnsi="等线" w:eastAsia="宋体" w:cs="宋体"/>
          <w:color w:val="000000"/>
          <w:sz w:val="24"/>
          <w:szCs w:val="24"/>
          <w:lang w:val="zh-CN" w:bidi="ar"/>
        </w:rPr>
        <w:t xml:space="preserve">的违约金。</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bidi="ar"/>
        </w:rPr>
        <w:t xml:space="preserve">4.</w:t>
      </w:r>
      <w:r>
        <w:rPr>
          <w:rFonts w:hint="eastAsia" w:ascii="等线" w:hAnsi="等线" w:eastAsia="宋体" w:cs="宋体"/>
          <w:color w:val="000000"/>
          <w:sz w:val="24"/>
          <w:szCs w:val="24"/>
          <w:lang w:val="zh-CN" w:bidi="ar"/>
        </w:rPr>
        <w:t xml:space="preserve">乙方逾期提供服务、交付服务成果的，每逾期</w:t>
      </w:r>
      <w:r>
        <w:rPr>
          <w:rFonts w:hint="eastAsia" w:ascii="等线" w:hAnsi="等线" w:eastAsia="宋体" w:cs="等线"/>
          <w:color w:val="000000"/>
          <w:sz w:val="24"/>
          <w:szCs w:val="24"/>
          <w:lang w:val="zh-CN" w:bidi="ar"/>
        </w:rPr>
        <w:t xml:space="preserve">1</w:t>
      </w:r>
      <w:r>
        <w:rPr>
          <w:rFonts w:hint="eastAsia" w:ascii="等线" w:hAnsi="等线" w:eastAsia="宋体" w:cs="宋体"/>
          <w:color w:val="000000"/>
          <w:sz w:val="24"/>
          <w:szCs w:val="24"/>
          <w:lang w:val="zh-CN" w:bidi="ar"/>
        </w:rPr>
        <w:t xml:space="preserve">天，乙方向甲方偿付各自合同范围总额的</w:t>
      </w:r>
      <w:r>
        <w:rPr>
          <w:rFonts w:hint="eastAsia" w:ascii="等线" w:hAnsi="等线" w:eastAsia="宋体" w:cs="等线"/>
          <w:color w:val="000000"/>
          <w:sz w:val="24"/>
          <w:szCs w:val="24"/>
          <w:lang w:val="zh-CN" w:bidi="ar"/>
        </w:rPr>
        <w:t xml:space="preserve">5</w:t>
      </w:r>
      <w:r>
        <w:rPr>
          <w:rFonts w:hint="eastAsia" w:ascii="等线" w:hAnsi="等线" w:eastAsia="宋体" w:cs="宋体"/>
          <w:color w:val="000000"/>
          <w:sz w:val="24"/>
          <w:szCs w:val="24"/>
          <w:lang w:val="zh-CN" w:bidi="ar"/>
        </w:rPr>
        <w:t xml:space="preserve">‰的滞纳金。如乙方逾期达</w:t>
      </w:r>
      <w:r>
        <w:rPr>
          <w:rFonts w:hint="eastAsia" w:ascii="等线" w:hAnsi="等线" w:eastAsia="宋体" w:cs="等线"/>
          <w:color w:val="000000"/>
          <w:sz w:val="24"/>
          <w:szCs w:val="24"/>
          <w:lang w:val="zh-CN" w:bidi="ar"/>
        </w:rPr>
        <w:t xml:space="preserve">10</w:t>
      </w:r>
      <w:r>
        <w:rPr>
          <w:rFonts w:hint="eastAsia" w:ascii="等线" w:hAnsi="等线" w:eastAsia="宋体" w:cs="宋体"/>
          <w:color w:val="000000"/>
          <w:sz w:val="24"/>
          <w:szCs w:val="24"/>
          <w:lang w:val="zh-CN" w:bidi="ar"/>
        </w:rPr>
        <w:t xml:space="preserve">天，甲方有权解除合同，解除合同的通知自到达乙方时生效，乙方应向甲方另行支付相应合同范围总价款</w:t>
      </w:r>
      <w:r>
        <w:rPr>
          <w:rFonts w:hint="eastAsia" w:ascii="等线" w:hAnsi="等线" w:eastAsia="宋体" w:cs="等线"/>
          <w:color w:val="000000"/>
          <w:sz w:val="24"/>
          <w:szCs w:val="24"/>
          <w:lang w:val="zh-CN" w:bidi="ar"/>
        </w:rPr>
        <w:t xml:space="preserve">25%</w:t>
      </w:r>
      <w:r>
        <w:rPr>
          <w:rFonts w:hint="eastAsia" w:ascii="等线" w:hAnsi="等线" w:eastAsia="宋体" w:cs="宋体"/>
          <w:color w:val="000000"/>
          <w:sz w:val="24"/>
          <w:szCs w:val="24"/>
          <w:lang w:val="zh-CN" w:bidi="ar"/>
        </w:rPr>
        <w:t xml:space="preserve">违约金并赔偿给甲方造成全部损失。</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bidi="ar"/>
        </w:rPr>
        <w:t xml:space="preserve">5.</w:t>
      </w:r>
      <w:r>
        <w:rPr>
          <w:rFonts w:hint="eastAsia" w:ascii="等线" w:hAnsi="等线" w:eastAsia="宋体" w:cs="宋体"/>
          <w:color w:val="000000"/>
          <w:sz w:val="24"/>
          <w:szCs w:val="24"/>
          <w:lang w:val="zh-CN" w:bidi="ar"/>
        </w:rPr>
        <w:t xml:space="preserve">乙方所提供的服务或交付的服务成果不符合合同规定的，甲方有权拒收。甲方拒收的，乙方应向甲方支付相应合同范围价款总额</w:t>
      </w:r>
      <w:r>
        <w:rPr>
          <w:rFonts w:hint="eastAsia" w:ascii="等线" w:hAnsi="等线" w:eastAsia="宋体" w:cs="等线"/>
          <w:color w:val="000000"/>
          <w:sz w:val="24"/>
          <w:szCs w:val="24"/>
          <w:lang w:val="zh-CN" w:bidi="ar"/>
        </w:rPr>
        <w:t xml:space="preserve">5%</w:t>
      </w:r>
      <w:r>
        <w:rPr>
          <w:rFonts w:hint="eastAsia" w:ascii="等线" w:hAnsi="等线" w:eastAsia="宋体" w:cs="宋体"/>
          <w:color w:val="000000"/>
          <w:sz w:val="24"/>
          <w:szCs w:val="24"/>
          <w:lang w:val="zh-CN" w:bidi="ar"/>
        </w:rPr>
        <w:t xml:space="preserve">的违约金。甲方未拒收的，发现后将向有关部门反映，并责成乙方按照采购结果提供服务，同时视情况给予暂停一至三年参加紫金山实验室组织的政府采购活动的处理。</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6.</w:t>
      </w:r>
      <w:r>
        <w:rPr>
          <w:rFonts w:hint="eastAsia" w:ascii="等线" w:hAnsi="等线" w:eastAsia="宋体" w:cs="宋体"/>
          <w:color w:val="000000"/>
          <w:sz w:val="24"/>
          <w:szCs w:val="24"/>
          <w:lang w:val="zh-CN" w:bidi="ar"/>
        </w:rPr>
        <w:t xml:space="preserve">乙方在承担上述</w:t>
      </w:r>
      <w:r>
        <w:rPr>
          <w:rFonts w:hint="eastAsia" w:ascii="等线" w:hAnsi="等线" w:eastAsia="宋体" w:cs="等线"/>
          <w:color w:val="000000"/>
          <w:sz w:val="24"/>
          <w:szCs w:val="24"/>
          <w:lang w:val="zh-CN" w:bidi="ar"/>
        </w:rPr>
        <w:t xml:space="preserve">4-5</w:t>
      </w:r>
      <w:r>
        <w:rPr>
          <w:rFonts w:hint="eastAsia" w:ascii="等线" w:hAnsi="等线" w:eastAsia="宋体" w:cs="宋体"/>
          <w:color w:val="000000"/>
          <w:sz w:val="24"/>
          <w:szCs w:val="24"/>
          <w:lang w:val="zh-CN" w:bidi="ar"/>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7.</w:t>
      </w:r>
      <w:r>
        <w:rPr>
          <w:rFonts w:hint="eastAsia" w:ascii="等线" w:hAnsi="等线" w:eastAsia="宋体" w:cs="宋体"/>
          <w:color w:val="000000"/>
          <w:sz w:val="24"/>
          <w:szCs w:val="24"/>
          <w:lang w:val="zh-CN" w:bidi="ar"/>
        </w:rPr>
        <w:t xml:space="preserve">乙方投标属虚假承诺，或经权威部门监测提供的服务不能满足采购文件要求，或是由于乙方的过错造成合同无法继续履行的，乙方应向甲方支付不少于各自合同范围总价</w:t>
      </w:r>
      <w:r>
        <w:rPr>
          <w:rFonts w:hint="eastAsia" w:ascii="等线" w:hAnsi="等线" w:eastAsia="宋体" w:cs="等线"/>
          <w:color w:val="000000"/>
          <w:sz w:val="24"/>
          <w:szCs w:val="24"/>
          <w:lang w:val="zh-CN" w:bidi="ar"/>
        </w:rPr>
        <w:t xml:space="preserve">30%</w:t>
      </w:r>
      <w:r>
        <w:rPr>
          <w:rFonts w:hint="eastAsia" w:ascii="等线" w:hAnsi="等线" w:eastAsia="宋体" w:cs="宋体"/>
          <w:color w:val="000000"/>
          <w:sz w:val="24"/>
          <w:szCs w:val="24"/>
          <w:lang w:val="zh-CN" w:bidi="ar"/>
        </w:rPr>
        <w:t xml:space="preserve">赔偿金。</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8.</w:t>
      </w:r>
      <w:r>
        <w:rPr>
          <w:rFonts w:hint="eastAsia" w:ascii="等线" w:hAnsi="等线"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第九条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合同的变更和终止</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val="zh-CN" w:bidi="ar"/>
        </w:rPr>
        <w:t xml:space="preserve">除《政府采购法》第</w:t>
      </w:r>
      <w:r>
        <w:rPr>
          <w:rFonts w:hint="eastAsia" w:ascii="等线" w:hAnsi="等线" w:eastAsia="宋体" w:cs="等线"/>
          <w:color w:val="000000"/>
          <w:sz w:val="24"/>
          <w:szCs w:val="24"/>
          <w:lang w:val="zh-CN" w:bidi="ar"/>
        </w:rPr>
        <w:t xml:space="preserve">49</w:t>
      </w:r>
      <w:r>
        <w:rPr>
          <w:rFonts w:hint="eastAsia" w:ascii="等线" w:hAnsi="等线" w:eastAsia="宋体" w:cs="宋体"/>
          <w:color w:val="000000"/>
          <w:sz w:val="24"/>
          <w:szCs w:val="24"/>
          <w:lang w:val="zh-CN" w:bidi="ar"/>
        </w:rPr>
        <w:t xml:space="preserve">条以及第</w:t>
      </w:r>
      <w:r>
        <w:rPr>
          <w:rFonts w:hint="eastAsia" w:ascii="等线" w:hAnsi="等线" w:eastAsia="宋体" w:cs="等线"/>
          <w:color w:val="000000"/>
          <w:sz w:val="24"/>
          <w:szCs w:val="24"/>
          <w:lang w:val="zh-CN" w:bidi="ar"/>
        </w:rPr>
        <w:t xml:space="preserve">50</w:t>
      </w:r>
      <w:r>
        <w:rPr>
          <w:rFonts w:hint="eastAsia" w:ascii="等线" w:hAnsi="等线" w:eastAsia="宋体" w:cs="宋体"/>
          <w:color w:val="000000"/>
          <w:sz w:val="24"/>
          <w:szCs w:val="24"/>
          <w:lang w:val="zh-CN" w:bidi="ar"/>
        </w:rPr>
        <w:t xml:space="preserve">条第二款规定的情形外，本合同一经签订，甲乙丙丁四方不得擅自变更、中止或终止合同。</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2.</w:t>
      </w:r>
      <w:r>
        <w:rPr>
          <w:rFonts w:hint="eastAsia" w:ascii="等线" w:hAnsi="等线" w:eastAsia="宋体" w:cs="宋体"/>
          <w:color w:val="000000"/>
          <w:sz w:val="24"/>
          <w:szCs w:val="24"/>
          <w:lang w:val="zh-CN" w:bidi="ar"/>
        </w:rPr>
        <w:t xml:space="preserve">除发生法律规定的不能预见、不能避免并不能克服的客观情况外，甲乙</w:t>
      </w:r>
      <w:r>
        <w:rPr>
          <w:rFonts w:hint="eastAsia" w:ascii="等线" w:hAnsi="等线" w:eastAsia="宋体" w:cs="宋体"/>
          <w:color w:val="000000"/>
          <w:sz w:val="24"/>
          <w:szCs w:val="24"/>
          <w:lang w:bidi="ar"/>
        </w:rPr>
        <w:t xml:space="preserve">双</w:t>
      </w:r>
      <w:r>
        <w:rPr>
          <w:rFonts w:hint="eastAsia" w:ascii="等线" w:hAnsi="等线" w:eastAsia="宋体" w:cs="宋体"/>
          <w:color w:val="000000"/>
          <w:sz w:val="24"/>
          <w:szCs w:val="24"/>
          <w:lang w:val="zh-CN" w:bidi="ar"/>
        </w:rPr>
        <w:t xml:space="preserve">方不得放弃或拒绝履行合同。乙方放弃或拒绝履行合同，保证金（如有）不予退还，在三年内不得参加紫金山实验室组织的政府采购活动。</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第十条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合同的转让</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乙方不得部分或全部转让其应履行的合同义务或其享有的合同权利。</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第十一条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争议的解决</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val="zh-CN" w:bidi="ar"/>
        </w:rPr>
        <w:t xml:space="preserve">因服务的质量问题发生争议的，一方可邀请国家认可的检测鉴定机构对服务质量进行鉴定。服务符合标准的，鉴定费由甲方承担；服务不符合标准的，鉴定费由乙方承担。</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2.</w:t>
      </w:r>
      <w:r>
        <w:rPr>
          <w:rFonts w:hint="eastAsia" w:ascii="等线" w:hAnsi="等线" w:eastAsia="宋体" w:cs="宋体"/>
          <w:color w:val="000000"/>
          <w:sz w:val="24"/>
          <w:szCs w:val="24"/>
          <w:lang w:val="zh-CN" w:bidi="ar"/>
        </w:rPr>
        <w:t xml:space="preserve">因履行本合同引起的或与本合同有关的争议，甲乙</w:t>
      </w:r>
      <w:r>
        <w:rPr>
          <w:rFonts w:hint="eastAsia" w:ascii="等线" w:hAnsi="等线" w:eastAsia="宋体" w:cs="宋体"/>
          <w:color w:val="000000"/>
          <w:sz w:val="24"/>
          <w:szCs w:val="24"/>
          <w:lang w:bidi="ar"/>
        </w:rPr>
        <w:t xml:space="preserve">双</w:t>
      </w:r>
      <w:r>
        <w:rPr>
          <w:rFonts w:hint="eastAsia" w:ascii="等线" w:hAnsi="等线" w:eastAsia="宋体" w:cs="宋体"/>
          <w:color w:val="000000"/>
          <w:sz w:val="24"/>
          <w:szCs w:val="24"/>
          <w:lang w:val="zh-CN" w:bidi="ar"/>
        </w:rPr>
        <w:t xml:space="preserve">方应首先通过友好协商解决，如果协商不能解决争议，则向甲方所在地有管辖权的人民法院提起诉讼解决争议。</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3.</w:t>
      </w:r>
      <w:r>
        <w:rPr>
          <w:rFonts w:hint="eastAsia" w:ascii="等线" w:hAnsi="等线" w:eastAsia="宋体" w:cs="宋体"/>
          <w:color w:val="000000"/>
          <w:sz w:val="24"/>
          <w:szCs w:val="24"/>
          <w:lang w:val="zh-CN" w:bidi="ar"/>
        </w:rPr>
        <w:t xml:space="preserve">在诉讼期间，本合同应继续履行。</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4.</w:t>
      </w:r>
      <w:r>
        <w:rPr>
          <w:rFonts w:hint="eastAsia" w:ascii="等线" w:hAnsi="等线" w:eastAsia="宋体" w:cs="宋体"/>
          <w:color w:val="000000"/>
          <w:sz w:val="24"/>
          <w:szCs w:val="24"/>
          <w:lang w:bidi="ar"/>
        </w:rPr>
        <w:t xml:space="preserve">双</w:t>
      </w:r>
      <w:r>
        <w:rPr>
          <w:rFonts w:hint="eastAsia" w:ascii="等线" w:hAnsi="等线" w:eastAsia="宋体" w:cs="宋体"/>
          <w:color w:val="000000"/>
          <w:sz w:val="24"/>
          <w:szCs w:val="24"/>
          <w:lang w:val="zh-CN" w:bidi="ar"/>
        </w:rPr>
        <w:t xml:space="preserve">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第十二条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诚实信用</w:t>
      </w:r>
      <w:r>
        <w:rPr>
          <w:rFonts w:hint="eastAsia" w:ascii="等线" w:hAnsi="等线" w:eastAsia="宋体" w:cs="等线"/>
          <w:color w:val="000000"/>
          <w:sz w:val="24"/>
          <w:szCs w:val="24"/>
          <w:lang w:val="zh-CN" w:bidi="ar"/>
        </w:rPr>
        <w:t xml:space="preserve"> </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乙方应诚实信用，严格按照采购文件要求和投标承诺履行合同，不向甲方进行商业贿赂或者提供不正当利益。</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宋体"/>
          <w:color w:val="000000"/>
          <w:sz w:val="24"/>
          <w:szCs w:val="24"/>
          <w:lang w:val="zh-CN" w:bidi="ar"/>
        </w:rPr>
        <w:t xml:space="preserve">第十三条</w:t>
      </w:r>
      <w:r>
        <w:rPr>
          <w:rFonts w:hint="eastAsia" w:ascii="等线" w:hAnsi="等线" w:eastAsia="宋体" w:cs="等线"/>
          <w:color w:val="000000"/>
          <w:sz w:val="24"/>
          <w:szCs w:val="24"/>
          <w:lang w:val="zh-CN" w:bidi="ar"/>
        </w:rPr>
        <w:t xml:space="preserve"> </w:t>
      </w:r>
      <w:r>
        <w:rPr>
          <w:rFonts w:hint="eastAsia" w:ascii="等线" w:hAnsi="等线" w:eastAsia="宋体" w:cs="宋体"/>
          <w:color w:val="000000"/>
          <w:sz w:val="24"/>
          <w:szCs w:val="24"/>
          <w:lang w:val="zh-CN" w:bidi="ar"/>
        </w:rPr>
        <w:t xml:space="preserve">合同生效及其他</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1.</w:t>
      </w:r>
      <w:r>
        <w:rPr>
          <w:rFonts w:hint="eastAsia" w:ascii="等线" w:hAnsi="等线" w:eastAsia="宋体" w:cs="宋体"/>
          <w:color w:val="000000"/>
          <w:sz w:val="24"/>
          <w:szCs w:val="24"/>
          <w:lang w:val="zh-CN" w:bidi="ar"/>
        </w:rPr>
        <w:t xml:space="preserve">本合同自</w:t>
      </w:r>
      <w:r>
        <w:rPr>
          <w:rFonts w:hint="eastAsia" w:ascii="等线" w:hAnsi="等线" w:eastAsia="宋体" w:cs="宋体"/>
          <w:color w:val="000000"/>
          <w:sz w:val="24"/>
          <w:szCs w:val="24"/>
          <w:lang w:bidi="ar"/>
        </w:rPr>
        <w:t xml:space="preserve">双</w:t>
      </w:r>
      <w:r>
        <w:rPr>
          <w:rFonts w:hint="eastAsia" w:ascii="等线" w:hAnsi="等线" w:eastAsia="宋体" w:cs="宋体"/>
          <w:color w:val="000000"/>
          <w:sz w:val="24"/>
          <w:szCs w:val="24"/>
          <w:lang w:val="zh-CN" w:bidi="ar"/>
        </w:rPr>
        <w:t xml:space="preserve">方盖章之日起生效。</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2.</w:t>
      </w:r>
      <w:r>
        <w:rPr>
          <w:rFonts w:hint="eastAsia" w:ascii="等线" w:hAnsi="等线" w:eastAsia="宋体" w:cs="宋体"/>
          <w:color w:val="000000"/>
          <w:sz w:val="24"/>
          <w:szCs w:val="24"/>
          <w:lang w:val="zh-CN" w:bidi="ar"/>
        </w:rPr>
        <w:t xml:space="preserve">本合同一式</w:t>
      </w:r>
      <w:r>
        <w:rPr>
          <w:rFonts w:hint="eastAsia" w:ascii="等线" w:hAnsi="等线" w:eastAsia="宋体" w:cs="等线"/>
          <w:color w:val="000000"/>
          <w:sz w:val="24"/>
          <w:szCs w:val="24"/>
          <w:u w:val="single"/>
          <w:lang w:val="zh-CN" w:bidi="ar"/>
        </w:rPr>
        <w:t xml:space="preserve">   </w:t>
      </w:r>
      <w:r>
        <w:rPr>
          <w:rFonts w:hint="eastAsia" w:ascii="等线" w:hAnsi="等线" w:eastAsia="宋体" w:cs="宋体"/>
          <w:color w:val="000000"/>
          <w:sz w:val="24"/>
          <w:szCs w:val="24"/>
          <w:lang w:val="zh-CN" w:bidi="ar"/>
        </w:rPr>
        <w:t xml:space="preserve">份，甲方执肆份，乙方执</w:t>
      </w:r>
      <w:r>
        <w:rPr>
          <w:rFonts w:hint="eastAsia" w:ascii="等线" w:hAnsi="等线" w:eastAsia="宋体" w:cs="等线"/>
          <w:color w:val="000000"/>
          <w:sz w:val="24"/>
          <w:szCs w:val="24"/>
          <w:u w:val="single"/>
          <w:lang w:val="zh-CN" w:bidi="ar"/>
        </w:rPr>
        <w:t xml:space="preserve">   </w:t>
      </w:r>
      <w:r>
        <w:rPr>
          <w:rFonts w:hint="eastAsia" w:ascii="等线" w:hAnsi="等线" w:eastAsia="宋体" w:cs="宋体"/>
          <w:color w:val="000000"/>
          <w:sz w:val="24"/>
          <w:szCs w:val="24"/>
          <w:lang w:val="zh-CN" w:bidi="ar"/>
        </w:rPr>
        <w:t xml:space="preserve">份，具有同等法律效力。</w:t>
      </w:r>
      <w:r/>
    </w:p>
    <w:p>
      <w:pPr>
        <w:ind w:firstLine="420"/>
        <w:jc w:val="left"/>
        <w:spacing w:line="540" w:lineRule="exact"/>
        <w:rPr>
          <w:rFonts w:hint="eastAsia" w:ascii="等线" w:hAnsi="等线" w:eastAsia="宋体" w:cs="等线"/>
          <w:color w:val="000000"/>
          <w:lang w:val="zh-CN"/>
        </w:rPr>
      </w:pPr>
      <w:r>
        <w:rPr>
          <w:rFonts w:hint="eastAsia" w:ascii="等线" w:hAnsi="等线" w:eastAsia="宋体" w:cs="等线"/>
          <w:color w:val="000000"/>
          <w:sz w:val="24"/>
          <w:szCs w:val="24"/>
          <w:lang w:bidi="ar"/>
        </w:rPr>
        <w:t xml:space="preserve">3.</w:t>
      </w:r>
      <w:r>
        <w:rPr>
          <w:rFonts w:hint="eastAsia" w:ascii="等线" w:hAnsi="等线" w:eastAsia="宋体" w:cs="宋体"/>
          <w:color w:val="000000"/>
          <w:sz w:val="24"/>
          <w:szCs w:val="24"/>
          <w:lang w:val="zh-CN" w:bidi="ar"/>
        </w:rPr>
        <w:t xml:space="preserve">本合同应按照中华人民共和国大陆地区现行有效的法律进行解释。</w:t>
      </w:r>
      <w:r/>
    </w:p>
    <w:p>
      <w:pPr>
        <w:ind w:firstLine="420"/>
        <w:jc w:val="left"/>
        <w:spacing w:line="540" w:lineRule="exact"/>
        <w:rPr>
          <w:rFonts w:ascii="等线" w:hAnsi="Times New Roman" w:eastAsia="等线" w:cs="等线"/>
          <w:b/>
          <w:color w:val="000000"/>
        </w:rPr>
      </w:pPr>
      <w:r>
        <w:rPr>
          <w:rFonts w:hint="eastAsia" w:ascii="等线" w:hAnsi="等线" w:eastAsia="宋体" w:cs="宋体"/>
          <w:color w:val="000000"/>
          <w:sz w:val="24"/>
          <w:szCs w:val="24"/>
          <w:lang w:val="zh-CN" w:bidi="ar"/>
        </w:rPr>
        <w:t xml:space="preserve">（以下无正文）</w:t>
      </w:r>
      <w:r/>
    </w:p>
    <w:p>
      <w:pPr>
        <w:ind w:firstLine="420"/>
        <w:jc w:val="left"/>
        <w:spacing w:line="540" w:lineRule="exact"/>
        <w:widowControl/>
        <w:rPr>
          <w:rFonts w:ascii="等线" w:hAnsi="Times New Roman" w:eastAsia="等线" w:cs="宋体"/>
          <w:color w:val="000000"/>
          <w:lang w:val="zh-CN"/>
        </w:rPr>
      </w:pPr>
      <w:r>
        <w:rPr>
          <w:rFonts w:ascii="等线" w:hAnsi="Times New Roman" w:eastAsia="等线" w:cs="宋体"/>
          <w:color w:val="000000"/>
          <w:lang w:val="zh-CN"/>
        </w:rPr>
      </w:r>
      <w:r/>
    </w:p>
    <w:p>
      <w:pPr>
        <w:ind w:firstLine="420"/>
        <w:jc w:val="left"/>
        <w:spacing w:line="540" w:lineRule="exact"/>
        <w:widowControl/>
        <w:rPr>
          <w:rFonts w:ascii="等线" w:hAnsi="Times New Roman" w:eastAsia="等线" w:cs="宋体"/>
          <w:color w:val="000000"/>
          <w:lang w:val="zh-CN"/>
        </w:rPr>
      </w:pPr>
      <w:r>
        <w:rPr>
          <w:rFonts w:ascii="等线" w:hAnsi="Times New Roman" w:eastAsia="等线" w:cs="宋体"/>
          <w:color w:val="000000"/>
          <w:lang w:val="zh-CN"/>
        </w:rPr>
      </w:r>
      <w:r/>
    </w:p>
    <w:p>
      <w:pPr>
        <w:pStyle w:val="917"/>
        <w:ind w:firstLine="480"/>
        <w:jc w:val="both"/>
        <w:spacing w:before="0" w:beforeAutospacing="0" w:after="0" w:afterAutospacing="0" w:line="360" w:lineRule="auto"/>
        <w:rPr>
          <w:rFonts w:hint="eastAsia"/>
          <w:lang w:val="zh-CN"/>
        </w:rPr>
      </w:pPr>
      <w:r>
        <w:rPr>
          <w:rFonts w:hint="eastAsia"/>
          <w:lang w:val="zh-CN"/>
        </w:rPr>
      </w:r>
      <w:r/>
    </w:p>
    <w:p>
      <w:pPr>
        <w:rPr>
          <w:lang w:val="zh-CN"/>
        </w:rPr>
      </w:pPr>
      <w:r>
        <w:rPr>
          <w:lang w:val="zh-CN"/>
        </w:rPr>
      </w:r>
      <w:r/>
    </w:p>
    <w:p>
      <w:pPr>
        <w:pStyle w:val="917"/>
        <w:ind w:firstLine="480"/>
        <w:jc w:val="both"/>
        <w:spacing w:before="0" w:beforeAutospacing="0" w:after="0" w:afterAutospacing="0" w:line="360" w:lineRule="auto"/>
        <w:rPr>
          <w:rFonts w:hint="eastAsia"/>
          <w:lang w:val="zh-CN"/>
        </w:rPr>
      </w:pPr>
      <w:r>
        <w:rPr>
          <w:rFonts w:hint="eastAsia"/>
          <w:lang w:val="zh-CN"/>
        </w:rPr>
      </w:r>
      <w:r/>
    </w:p>
    <w:p>
      <w:pPr>
        <w:rPr>
          <w:lang w:val="zh-CN"/>
        </w:rPr>
      </w:pPr>
      <w:r>
        <w:rPr>
          <w:lang w:val="zh-CN"/>
        </w:rPr>
      </w:r>
      <w:r/>
    </w:p>
    <w:p>
      <w:pPr>
        <w:pStyle w:val="917"/>
        <w:ind w:firstLine="480"/>
        <w:jc w:val="both"/>
        <w:spacing w:before="0" w:beforeAutospacing="0" w:after="0" w:afterAutospacing="0" w:line="360" w:lineRule="auto"/>
        <w:rPr>
          <w:rFonts w:hint="eastAsia"/>
          <w:lang w:val="zh-CN"/>
        </w:rPr>
      </w:pPr>
      <w:r>
        <w:rPr>
          <w:rFonts w:hint="eastAsia"/>
          <w:lang w:val="zh-CN"/>
        </w:rPr>
      </w:r>
      <w:r/>
    </w:p>
    <w:p>
      <w:pPr>
        <w:rPr>
          <w:lang w:val="zh-CN"/>
        </w:rPr>
      </w:pPr>
      <w:r>
        <w:rPr>
          <w:lang w:val="zh-CN"/>
        </w:rPr>
      </w:r>
      <w:r/>
    </w:p>
    <w:p>
      <w:pPr>
        <w:pStyle w:val="917"/>
        <w:ind w:firstLine="480"/>
        <w:jc w:val="both"/>
        <w:spacing w:before="0" w:beforeAutospacing="0" w:after="0" w:afterAutospacing="0" w:line="360" w:lineRule="auto"/>
        <w:rPr>
          <w:rFonts w:hint="eastAsia"/>
          <w:lang w:val="zh-CN"/>
        </w:rPr>
      </w:pPr>
      <w:r>
        <w:rPr>
          <w:rFonts w:hint="eastAsia"/>
          <w:lang w:val="zh-CN"/>
        </w:rPr>
      </w:r>
      <w:r/>
    </w:p>
    <w:p>
      <w:pPr>
        <w:rPr>
          <w:lang w:val="zh-CN"/>
        </w:rPr>
      </w:pPr>
      <w:r>
        <w:rPr>
          <w:lang w:val="zh-CN"/>
        </w:rPr>
      </w:r>
      <w:r/>
    </w:p>
    <w:p>
      <w:pPr>
        <w:rPr>
          <w:lang w:val="zh-CN"/>
        </w:rPr>
      </w:pPr>
      <w:r>
        <w:rPr>
          <w:lang w:val="zh-CN"/>
        </w:rPr>
      </w:r>
      <w:r/>
    </w:p>
    <w:p>
      <w:pPr>
        <w:pStyle w:val="917"/>
        <w:ind w:firstLine="480"/>
        <w:jc w:val="both"/>
        <w:spacing w:before="0" w:beforeAutospacing="0" w:after="0" w:afterAutospacing="0" w:line="360" w:lineRule="auto"/>
        <w:rPr>
          <w:rFonts w:hint="eastAsia"/>
          <w:lang w:val="zh-CN"/>
        </w:rPr>
      </w:pPr>
      <w:r>
        <w:rPr>
          <w:rFonts w:hint="eastAsia"/>
          <w:lang w:val="zh-CN"/>
        </w:rPr>
      </w:r>
      <w:r/>
    </w:p>
    <w:p>
      <w:pPr>
        <w:jc w:val="center"/>
        <w:widowControl/>
        <w:rPr>
          <w:rFonts w:hint="eastAsia" w:ascii="等线" w:hAnsi="等线" w:eastAsia="宋体" w:cs="宋体"/>
          <w:color w:val="000000"/>
          <w:sz w:val="24"/>
          <w:szCs w:val="24"/>
          <w:lang w:val="zh-CN" w:bidi="ar"/>
        </w:rPr>
      </w:pPr>
      <w:r>
        <w:rPr>
          <w:rFonts w:hint="eastAsia" w:ascii="等线" w:hAnsi="等线" w:eastAsia="宋体" w:cs="宋体"/>
          <w:color w:val="000000"/>
          <w:sz w:val="24"/>
          <w:szCs w:val="24"/>
          <w:lang w:val="zh-CN" w:bidi="ar"/>
        </w:rPr>
        <w:t xml:space="preserve">（本页系编号《服务采购合同》签署页，无正文）</w:t>
      </w:r>
      <w:r/>
    </w:p>
    <w:p>
      <w:pPr>
        <w:jc w:val="center"/>
        <w:widowControl/>
        <w:rPr>
          <w:rFonts w:hint="eastAsia" w:ascii="等线" w:hAnsi="等线" w:eastAsia="宋体" w:cs="宋体"/>
          <w:color w:val="000000"/>
          <w:sz w:val="24"/>
          <w:szCs w:val="24"/>
          <w:lang w:val="zh-CN" w:bidi="ar"/>
        </w:rPr>
      </w:pPr>
      <w:r>
        <w:rPr>
          <w:rFonts w:hint="eastAsia" w:ascii="等线" w:hAnsi="等线" w:eastAsia="宋体" w:cs="宋体"/>
          <w:color w:val="000000"/>
          <w:sz w:val="24"/>
          <w:szCs w:val="24"/>
          <w:lang w:val="zh-CN" w:bidi="ar"/>
        </w:rPr>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00"/>
        <w:gridCol w:w="4503"/>
      </w:tblGrid>
      <w:tr>
        <w:trPr/>
        <w:tc>
          <w:tcPr>
            <w:tcBorders>
              <w:top w:val="single" w:color="auto" w:sz="4" w:space="0"/>
              <w:left w:val="single" w:color="auto" w:sz="4" w:space="0"/>
              <w:bottom w:val="single" w:color="auto" w:sz="4" w:space="0"/>
              <w:right w:val="single" w:color="auto" w:sz="4" w:space="0"/>
            </w:tcBorders>
            <w:tcW w:w="2499" w:type="pct"/>
            <w:textDirection w:val="lrTb"/>
            <w:noWrap w:val="false"/>
          </w:tcPr>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甲方：紫金山实验室</w:t>
            </w:r>
            <w:r/>
          </w:p>
          <w:p>
            <w:pPr>
              <w:jc w:val="left"/>
              <w:rPr>
                <w:rFonts w:hint="eastAsia" w:ascii="等线" w:hAnsi="等线" w:eastAsia="宋体" w:cs="等线"/>
                <w:color w:val="000000"/>
              </w:rPr>
            </w:pPr>
            <w:r>
              <w:rPr>
                <w:rFonts w:hint="eastAsia" w:ascii="等线" w:hAnsi="等线" w:eastAsia="宋体" w:cs="等线"/>
                <w:color w:val="000000"/>
              </w:rPr>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（盖章）</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法人代表</w:t>
            </w:r>
            <w:r>
              <w:rPr>
                <w:rFonts w:hint="eastAsia" w:ascii="等线" w:hAnsi="等线" w:eastAsia="宋体" w:cs="等线"/>
                <w:color w:val="000000"/>
                <w:sz w:val="24"/>
                <w:szCs w:val="24"/>
                <w:lang w:bidi="ar"/>
              </w:rPr>
              <w:t xml:space="preserve">：</w:t>
            </w:r>
            <w:r>
              <w:rPr>
                <w:rFonts w:hint="eastAsia" w:ascii="等线" w:hAnsi="等线" w:eastAsia="宋体" w:cs="宋体"/>
                <w:color w:val="000000"/>
                <w:sz w:val="24"/>
                <w:szCs w:val="24"/>
                <w:lang w:bidi="ar"/>
              </w:rPr>
              <w:t xml:space="preserve">尤肖虎</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地址</w:t>
            </w:r>
            <w:r>
              <w:rPr>
                <w:rFonts w:hint="eastAsia" w:ascii="等线" w:hAnsi="等线" w:eastAsia="宋体" w:cs="等线"/>
                <w:color w:val="000000"/>
                <w:sz w:val="24"/>
                <w:szCs w:val="24"/>
                <w:lang w:bidi="ar"/>
              </w:rPr>
              <w:t xml:space="preserve">：</w:t>
            </w:r>
            <w:r>
              <w:rPr>
                <w:rFonts w:hint="eastAsia" w:ascii="等线" w:hAnsi="等线" w:eastAsia="宋体" w:cs="宋体"/>
                <w:color w:val="000000"/>
                <w:sz w:val="24"/>
                <w:szCs w:val="24"/>
                <w:lang w:bidi="ar"/>
              </w:rPr>
              <w:t xml:space="preserve">南京市江宁区秣周东路</w:t>
            </w:r>
            <w:r>
              <w:rPr>
                <w:rFonts w:hint="eastAsia" w:ascii="等线" w:hAnsi="等线" w:eastAsia="宋体" w:cs="等线"/>
                <w:color w:val="000000"/>
                <w:sz w:val="24"/>
                <w:szCs w:val="24"/>
                <w:lang w:bidi="ar"/>
              </w:rPr>
              <w:t xml:space="preserve">9</w:t>
            </w:r>
            <w:r>
              <w:rPr>
                <w:rFonts w:hint="eastAsia" w:ascii="等线" w:hAnsi="等线" w:eastAsia="宋体" w:cs="宋体"/>
                <w:color w:val="000000"/>
                <w:sz w:val="24"/>
                <w:szCs w:val="24"/>
                <w:lang w:bidi="ar"/>
              </w:rPr>
              <w:t xml:space="preserve">号</w:t>
            </w:r>
            <w:r/>
          </w:p>
          <w:p>
            <w:pPr>
              <w:jc w:val="left"/>
              <w:rPr>
                <w:rFonts w:hint="eastAsia" w:ascii="等线" w:hAnsi="等线" w:eastAsia="宋体" w:cs="等线"/>
                <w:color w:val="000000"/>
              </w:rPr>
            </w:pPr>
            <w:r>
              <w:rPr>
                <w:rFonts w:hint="eastAsia" w:ascii="等线" w:hAnsi="等线" w:eastAsia="宋体" w:cs="等线"/>
                <w:color w:val="000000"/>
              </w:rPr>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邮编</w:t>
            </w:r>
            <w:r>
              <w:rPr>
                <w:rFonts w:hint="eastAsia" w:ascii="等线" w:hAnsi="等线" w:eastAsia="宋体" w:cs="等线"/>
                <w:color w:val="000000"/>
                <w:sz w:val="24"/>
                <w:szCs w:val="24"/>
                <w:lang w:bidi="ar"/>
              </w:rPr>
              <w:t xml:space="preserve">：</w:t>
            </w:r>
            <w:r>
              <w:rPr>
                <w:rFonts w:hint="eastAsia" w:ascii="等线" w:hAnsi="等线" w:eastAsia="宋体" w:cs="宋体"/>
                <w:color w:val="000000"/>
                <w:sz w:val="24"/>
                <w:szCs w:val="24"/>
                <w:lang w:bidi="ar"/>
              </w:rPr>
              <w:t xml:space="preserve"></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电话</w:t>
            </w:r>
            <w:r>
              <w:rPr>
                <w:rFonts w:hint="eastAsia" w:ascii="等线" w:hAnsi="等线" w:eastAsia="宋体" w:cs="等线"/>
                <w:color w:val="000000"/>
                <w:sz w:val="24"/>
                <w:szCs w:val="24"/>
                <w:lang w:bidi="ar"/>
              </w:rPr>
              <w:t xml:space="preserve">：</w:t>
            </w:r>
            <w:r>
              <w:rPr>
                <w:rFonts w:hint="eastAsia" w:ascii="等线" w:hAnsi="等线" w:eastAsia="宋体" w:cs="宋体"/>
                <w:color w:val="000000"/>
                <w:sz w:val="24"/>
                <w:szCs w:val="24"/>
                <w:lang w:bidi="ar"/>
              </w:rPr>
              <w:t xml:space="preserve"></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授权代表（签字）</w:t>
            </w:r>
            <w:r>
              <w:rPr>
                <w:rFonts w:hint="eastAsia" w:ascii="等线" w:hAnsi="等线" w:eastAsia="宋体" w:cs="等线"/>
                <w:color w:val="000000"/>
                <w:sz w:val="24"/>
                <w:szCs w:val="24"/>
                <w:lang w:bidi="ar"/>
              </w:rPr>
              <w:t xml:space="preserve">：</w:t>
            </w:r>
            <w:r>
              <w:rPr>
                <w:rFonts w:hint="eastAsia" w:ascii="等线" w:hAnsi="等线" w:eastAsia="宋体" w:cs="宋体"/>
                <w:color w:val="000000"/>
                <w:sz w:val="24"/>
                <w:szCs w:val="24"/>
                <w:lang w:bidi="ar"/>
              </w:rPr>
              <w:t xml:space="preserve"></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乙方：</w:t>
            </w:r>
            <w:r/>
          </w:p>
          <w:p>
            <w:pPr>
              <w:jc w:val="left"/>
              <w:rPr>
                <w:rFonts w:ascii="等线" w:hAnsi="Times New Roman" w:eastAsia="等线" w:cs="等线"/>
                <w:color w:val="000000"/>
              </w:rPr>
            </w:pPr>
            <w:r>
              <w:rPr>
                <w:rFonts w:ascii="等线" w:hAnsi="Times New Roman" w:eastAsia="等线" w:cs="等线"/>
                <w:color w:val="000000"/>
              </w:rPr>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（盖章）</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法人代表</w:t>
            </w:r>
            <w:r>
              <w:rPr>
                <w:rFonts w:hint="eastAsia" w:ascii="等线" w:hAnsi="等线" w:eastAsia="宋体" w:cs="等线"/>
                <w:color w:val="000000"/>
                <w:sz w:val="24"/>
                <w:szCs w:val="24"/>
                <w:lang w:bidi="ar"/>
              </w:rPr>
              <w:t xml:space="preserve">：</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地址</w:t>
            </w:r>
            <w:r>
              <w:rPr>
                <w:rFonts w:hint="eastAsia" w:ascii="等线" w:hAnsi="等线" w:eastAsia="宋体" w:cs="等线"/>
                <w:color w:val="000000"/>
                <w:sz w:val="24"/>
                <w:szCs w:val="24"/>
                <w:lang w:bidi="ar"/>
              </w:rPr>
              <w:t xml:space="preserve">：</w:t>
            </w:r>
            <w:r/>
          </w:p>
          <w:p>
            <w:pPr>
              <w:jc w:val="left"/>
              <w:rPr>
                <w:rFonts w:ascii="等线" w:hAnsi="Times New Roman" w:eastAsia="等线" w:cs="等线"/>
                <w:color w:val="000000"/>
              </w:rPr>
            </w:pPr>
            <w:r>
              <w:rPr>
                <w:rFonts w:ascii="等线" w:hAnsi="Times New Roman" w:eastAsia="等线" w:cs="等线"/>
                <w:color w:val="000000"/>
              </w:rPr>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邮编</w:t>
            </w:r>
            <w:r>
              <w:rPr>
                <w:rFonts w:hint="eastAsia" w:ascii="等线" w:hAnsi="等线" w:eastAsia="宋体" w:cs="等线"/>
                <w:color w:val="000000"/>
                <w:sz w:val="24"/>
                <w:szCs w:val="24"/>
                <w:lang w:bidi="ar"/>
              </w:rPr>
              <w:t xml:space="preserve">：</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电话</w:t>
            </w:r>
            <w:r>
              <w:rPr>
                <w:rFonts w:hint="eastAsia" w:ascii="等线" w:hAnsi="等线" w:eastAsia="宋体" w:cs="等线"/>
                <w:color w:val="000000"/>
                <w:sz w:val="24"/>
                <w:szCs w:val="24"/>
                <w:lang w:bidi="ar"/>
              </w:rPr>
              <w:t xml:space="preserve">：</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授权代表（签字）：</w:t>
            </w:r>
            <w:r/>
          </w:p>
          <w:p>
            <w:pPr>
              <w:jc w:val="left"/>
              <w:rPr>
                <w:rFonts w:ascii="等线" w:hAnsi="Times New Roman" w:eastAsia="等线" w:cs="等线"/>
                <w:color w:val="000000"/>
              </w:rPr>
            </w:pPr>
            <w:r>
              <w:rPr>
                <w:rFonts w:hint="eastAsia" w:ascii="等线" w:hAnsi="等线" w:eastAsia="宋体" w:cs="宋体"/>
                <w:color w:val="000000"/>
                <w:sz w:val="24"/>
                <w:szCs w:val="24"/>
                <w:lang w:bidi="ar"/>
              </w:rPr>
              <w:t xml:space="preserve">签订日期：     年     月     日</w:t>
            </w:r>
            <w:r/>
          </w:p>
        </w:tc>
      </w:tr>
    </w:tbl>
    <w:p>
      <w:pPr>
        <w:jc w:val="left"/>
        <w:widowControl/>
        <w:rPr>
          <w:rFonts w:hint="eastAsia" w:cs="宋体" w:asciiTheme="minorEastAsia" w:hAnsiTheme="minorEastAsia"/>
          <w:color w:val="000000" w:themeColor="text1"/>
          <w:sz w:val="24"/>
          <w:szCs w:val="24"/>
          <w:lang w:val="zh-CN"/>
          <w14:textFill>
            <w14:solidFill>
              <w14:schemeClr w14:val="tx1"/>
            </w14:solidFill>
          </w14:textFill>
        </w:rPr>
      </w:pPr>
      <w:r/>
      <w:bookmarkStart w:id="47" w:name="_Toc11859488"/>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920"/>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920"/>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920"/>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920"/>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jc w:val="center"/>
        <w:keepLines/>
        <w:keepNext/>
        <w:spacing w:line="360" w:lineRule="auto"/>
        <w:rPr>
          <w:rFonts w:hint="eastAsia"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7"/>
      <w:r/>
      <w:bookmarkStart w:id="48" w:name="_Toc11859489"/>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eastAsia="宋体" w:cs="宋体"/>
          <w:color w:val="000000"/>
          <w:sz w:val="24"/>
          <w:szCs w:val="24"/>
        </w:rPr>
        <w:t xml:space="preserve">服务类项目。</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（一）项目背景</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为推进国家网络弹性基础设施建设，提升关键信息基础设施在复杂攻击环境下的动态防御与快速恢复能力，需通过实战化、高强度的攻防对抗验证拟态防御、动态异构冗余等前沿技术的实际防护效能。第八届“强网”拟态防御国际精英挑战赛作为网络弹性基础设施的重要技术验证平台，将通过大规模、多场景的测试竞技，为网络韧性测评体系的标准化建设提供关键数据支撑。</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为确保赛事的高质量举办，需重点强化会务支撑服务，以保障网络韧性测评的严谨性与赛事执行的流畅性。本届赛事不仅是技术竞技平台，更是网络弹性基础设施建设的关键环节。通过专业化的会务服务保障，赛事将高效衔接技术研发、测评验证与产业应用，推动我国网络安全防御体系从“被动防护”向“主动弹性”的跨越式发展。</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遵循国家、行业及地方现行的规范和标准。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三、项目清单</w:t>
      </w:r>
      <w:r/>
    </w:p>
    <w:tbl>
      <w:tblPr>
        <w:tblStyle w:val="897"/>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64"/>
        <w:gridCol w:w="2381"/>
        <w:gridCol w:w="511"/>
        <w:gridCol w:w="511"/>
        <w:gridCol w:w="1129"/>
        <w:gridCol w:w="1064"/>
        <w:gridCol w:w="1493"/>
        <w:gridCol w:w="1145"/>
      </w:tblGrid>
      <w:tr>
        <w:trPr>
          <w:trHeight w:val="470"/>
        </w:trPr>
        <w:tc>
          <w:tcPr>
            <w:tcBorders>
              <w:top w:val="single" w:color="000000" w:sz="2" w:space="0"/>
              <w:bottom w:val="single" w:color="000000" w:sz="2" w:space="0"/>
            </w:tcBorders>
            <w:tcW w:w="321" w:type="pct"/>
            <w:vAlign w:val="center"/>
            <w:textDirection w:val="lrTb"/>
            <w:noWrap w:val="false"/>
          </w:tcPr>
          <w:p>
            <w:pPr>
              <w:jc w:val="center"/>
              <w:spacing w:line="264"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序号</w:t>
            </w:r>
            <w:r/>
          </w:p>
        </w:tc>
        <w:tc>
          <w:tcPr>
            <w:tcBorders>
              <w:top w:val="single" w:color="000000" w:sz="2" w:space="0"/>
              <w:bottom w:val="single" w:color="000000" w:sz="2" w:space="0"/>
            </w:tcBorders>
            <w:tcW w:w="1352" w:type="pct"/>
            <w:vAlign w:val="center"/>
            <w:textDirection w:val="lrTb"/>
            <w:noWrap w:val="false"/>
          </w:tcPr>
          <w:p>
            <w:pPr>
              <w:jc w:val="center"/>
              <w:spacing w:line="264"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分项名称</w:t>
            </w:r>
            <w:r/>
          </w:p>
        </w:tc>
        <w:tc>
          <w:tcPr>
            <w:tcBorders>
              <w:top w:val="single" w:color="000000" w:sz="2" w:space="0"/>
              <w:bottom w:val="single" w:color="000000" w:sz="2" w:space="0"/>
            </w:tcBorders>
            <w:tcW w:w="290" w:type="pct"/>
            <w:vAlign w:val="center"/>
            <w:textDirection w:val="lrTb"/>
            <w:noWrap w:val="false"/>
          </w:tcPr>
          <w:p>
            <w:pPr>
              <w:jc w:val="center"/>
              <w:spacing w:line="264"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数量</w:t>
            </w:r>
            <w:r/>
          </w:p>
        </w:tc>
        <w:tc>
          <w:tcPr>
            <w:tcBorders>
              <w:top w:val="single" w:color="000000" w:sz="2" w:space="0"/>
              <w:bottom w:val="single" w:color="000000" w:sz="2" w:space="0"/>
            </w:tcBorders>
            <w:tcW w:w="290" w:type="pct"/>
            <w:vAlign w:val="center"/>
            <w:textDirection w:val="lrTb"/>
            <w:noWrap w:val="false"/>
          </w:tcPr>
          <w:p>
            <w:pPr>
              <w:jc w:val="center"/>
              <w:spacing w:line="264"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单位</w:t>
            </w:r>
            <w:r/>
          </w:p>
        </w:tc>
        <w:tc>
          <w:tcPr>
            <w:tcBorders>
              <w:top w:val="single" w:color="000000" w:sz="2" w:space="0"/>
              <w:bottom w:val="single" w:color="000000" w:sz="2" w:space="0"/>
            </w:tcBorders>
            <w:tcW w:w="641" w:type="pct"/>
            <w:vAlign w:val="center"/>
            <w:textDirection w:val="lrTb"/>
            <w:noWrap w:val="false"/>
          </w:tcPr>
          <w:p>
            <w:pPr>
              <w:jc w:val="center"/>
              <w:spacing w:line="264"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产品类型</w:t>
            </w:r>
            <w:r/>
          </w:p>
        </w:tc>
        <w:tc>
          <w:tcPr>
            <w:tcBorders>
              <w:top w:val="single" w:color="000000" w:sz="2" w:space="0"/>
              <w:bottom w:val="single" w:color="000000" w:sz="2" w:space="0"/>
            </w:tcBorders>
            <w:tcW w:w="604" w:type="pct"/>
            <w:vAlign w:val="center"/>
            <w:textDirection w:val="lrTb"/>
            <w:noWrap w:val="false"/>
          </w:tcPr>
          <w:p>
            <w:pPr>
              <w:jc w:val="center"/>
              <w:spacing w:line="264" w:lineRule="auto"/>
              <w:rPr>
                <w:rFonts w:ascii="Times New Roman" w:hAnsi="Times New Roman" w:eastAsia="宋体" w:cs="Times New Roman"/>
                <w:szCs w:val="21"/>
              </w:rPr>
            </w:pPr>
            <w:r>
              <w:rPr>
                <w:rFonts w:hint="eastAsia" w:ascii="Times New Roman" w:hAnsi="Times New Roman" w:eastAsia="宋体" w:cs="Times New Roman"/>
                <w:szCs w:val="21"/>
              </w:rPr>
              <w:t xml:space="preserve">单价上限</w:t>
            </w:r>
            <w:r/>
          </w:p>
          <w:p>
            <w:pPr>
              <w:jc w:val="center"/>
              <w:spacing w:line="400" w:lineRule="exact"/>
              <w:rPr>
                <w:rFonts w:hint="eastAsia" w:ascii="宋体" w:hAnsi="宋体" w:eastAsia="宋体" w:cs="Times New Roman"/>
                <w:szCs w:val="20"/>
              </w:rPr>
            </w:pPr>
            <w:r>
              <w:rPr>
                <w:rFonts w:hint="eastAsia" w:ascii="宋体" w:hAnsi="宋体" w:eastAsia="宋体" w:cs="Times New Roman"/>
                <w:bCs/>
                <w:sz w:val="24"/>
                <w:szCs w:val="24"/>
              </w:rPr>
              <w:t xml:space="preserve">（元）</w:t>
            </w:r>
            <w:r/>
          </w:p>
        </w:tc>
        <w:tc>
          <w:tcPr>
            <w:tcBorders>
              <w:top w:val="single" w:color="000000" w:sz="2" w:space="0"/>
              <w:bottom w:val="single" w:color="000000" w:sz="2" w:space="0"/>
            </w:tcBorders>
            <w:tcW w:w="848" w:type="pct"/>
            <w:vAlign w:val="center"/>
            <w:textDirection w:val="lrTb"/>
            <w:noWrap w:val="false"/>
          </w:tcPr>
          <w:p>
            <w:pPr>
              <w:jc w:val="center"/>
              <w:spacing w:line="264"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所属行业</w:t>
            </w:r>
            <w:r/>
          </w:p>
        </w:tc>
        <w:tc>
          <w:tcPr>
            <w:tcBorders>
              <w:top w:val="single" w:color="000000" w:sz="2" w:space="0"/>
              <w:bottom w:val="single" w:color="000000" w:sz="2" w:space="0"/>
            </w:tcBorders>
            <w:tcW w:w="650" w:type="pct"/>
            <w:vAlign w:val="center"/>
            <w:textDirection w:val="lrTb"/>
            <w:noWrap w:val="false"/>
          </w:tcPr>
          <w:p>
            <w:pPr>
              <w:jc w:val="center"/>
              <w:spacing w:line="264" w:lineRule="auto"/>
              <w:rPr>
                <w:rFonts w:hint="eastAsia" w:ascii="宋体" w:hAnsi="宋体" w:eastAsia="宋体" w:cs="Times New Roman"/>
                <w:bCs/>
                <w:sz w:val="24"/>
                <w:szCs w:val="24"/>
              </w:rPr>
            </w:pPr>
            <w:r>
              <w:rPr>
                <w:rFonts w:hint="eastAsia" w:ascii="宋体" w:hAnsi="宋体" w:eastAsia="宋体" w:cs="宋体"/>
                <w:bCs/>
                <w:sz w:val="24"/>
                <w:szCs w:val="24"/>
              </w:rPr>
              <w:t xml:space="preserve">属性</w:t>
            </w:r>
            <w:r/>
          </w:p>
        </w:tc>
      </w:tr>
      <w:tr>
        <w:trPr>
          <w:trHeight w:val="597"/>
        </w:trPr>
        <w:tc>
          <w:tcPr>
            <w:tcBorders>
              <w:top w:val="single" w:color="000000" w:sz="2" w:space="0"/>
              <w:bottom w:val="single" w:color="000000" w:sz="2" w:space="0"/>
            </w:tcBorders>
            <w:tcW w:w="321" w:type="pct"/>
            <w:vAlign w:val="center"/>
            <w:textDirection w:val="lrTb"/>
            <w:noWrap w:val="false"/>
          </w:tcPr>
          <w:p>
            <w:pPr>
              <w:jc w:val="center"/>
              <w:spacing w:line="264" w:lineRule="auto"/>
              <w:rPr>
                <w:rFonts w:hint="eastAsia" w:ascii="宋体" w:hAnsi="宋体" w:eastAsia="宋体" w:cs="Times New Roman"/>
                <w:bCs/>
                <w:sz w:val="24"/>
                <w:szCs w:val="24"/>
              </w:rPr>
            </w:pPr>
            <w:r>
              <w:rPr>
                <w:rFonts w:hint="eastAsia" w:ascii="宋体" w:hAnsi="宋体" w:eastAsia="宋体" w:cs="宋体"/>
                <w:bCs/>
                <w:sz w:val="24"/>
                <w:szCs w:val="24"/>
              </w:rPr>
              <w:t xml:space="preserve">1</w:t>
            </w:r>
            <w:r/>
          </w:p>
        </w:tc>
        <w:tc>
          <w:tcPr>
            <w:tcBorders>
              <w:top w:val="single" w:color="000000" w:sz="2" w:space="0"/>
              <w:bottom w:val="single" w:color="000000" w:sz="2" w:space="0"/>
            </w:tcBorders>
            <w:tcW w:w="1352" w:type="pct"/>
            <w:vAlign w:val="center"/>
            <w:textDirection w:val="lrTb"/>
            <w:noWrap w:val="false"/>
          </w:tcPr>
          <w:p>
            <w:pPr>
              <w:spacing w:line="264" w:lineRule="auto"/>
              <w:rPr>
                <w:rFonts w:hint="eastAsia" w:ascii="宋体" w:hAnsi="宋体" w:eastAsia="宋体" w:cs="Times New Roman"/>
                <w:bCs/>
                <w:sz w:val="24"/>
                <w:szCs w:val="24"/>
              </w:rPr>
            </w:pPr>
            <w:r>
              <w:rPr>
                <w:rFonts w:hint="eastAsia" w:ascii="宋体" w:hAnsi="宋体" w:eastAsia="宋体" w:cs="宋体"/>
                <w:bCs/>
                <w:sz w:val="24"/>
                <w:szCs w:val="24"/>
              </w:rPr>
              <w:t xml:space="preserve">竞赛会务支撑服务</w:t>
            </w:r>
            <w:r/>
          </w:p>
        </w:tc>
        <w:tc>
          <w:tcPr>
            <w:tcBorders>
              <w:top w:val="single" w:color="000000" w:sz="2" w:space="0"/>
              <w:bottom w:val="single" w:color="000000" w:sz="2" w:space="0"/>
            </w:tcBorders>
            <w:tcW w:w="290" w:type="pct"/>
            <w:vAlign w:val="center"/>
            <w:textDirection w:val="lrTb"/>
            <w:noWrap w:val="false"/>
          </w:tcPr>
          <w:p>
            <w:pPr>
              <w:jc w:val="center"/>
              <w:spacing w:line="264" w:lineRule="auto"/>
              <w:rPr>
                <w:rFonts w:hint="eastAsia" w:ascii="宋体" w:hAnsi="宋体" w:eastAsia="宋体" w:cs="Times New Roman"/>
                <w:bCs/>
                <w:sz w:val="24"/>
                <w:szCs w:val="24"/>
              </w:rPr>
            </w:pPr>
            <w:r>
              <w:rPr>
                <w:rFonts w:hint="eastAsia" w:ascii="宋体" w:hAnsi="宋体" w:eastAsia="宋体" w:cs="宋体"/>
                <w:bCs/>
                <w:sz w:val="24"/>
                <w:szCs w:val="24"/>
              </w:rPr>
              <w:t xml:space="preserve">1</w:t>
            </w:r>
            <w:r/>
          </w:p>
        </w:tc>
        <w:tc>
          <w:tcPr>
            <w:tcBorders>
              <w:top w:val="single" w:color="000000" w:sz="2" w:space="0"/>
              <w:bottom w:val="single" w:color="000000" w:sz="2" w:space="0"/>
            </w:tcBorders>
            <w:tcW w:w="290" w:type="pct"/>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项</w:t>
            </w:r>
            <w:r/>
          </w:p>
        </w:tc>
        <w:tc>
          <w:tcPr>
            <w:tcBorders>
              <w:top w:val="single" w:color="000000" w:sz="2" w:space="0"/>
              <w:bottom w:val="single" w:color="000000" w:sz="2" w:space="0"/>
            </w:tcBorders>
            <w:tcW w:w="641" w:type="pct"/>
            <w:vAlign w:val="center"/>
            <w:textDirection w:val="lrTb"/>
            <w:noWrap w:val="false"/>
          </w:tcPr>
          <w:p>
            <w:pPr>
              <w:jc w:val="center"/>
              <w:spacing w:line="264"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主要产品</w:t>
            </w:r>
            <w:r/>
          </w:p>
        </w:tc>
        <w:tc>
          <w:tcPr>
            <w:tcBorders>
              <w:top w:val="single" w:color="000000" w:sz="2" w:space="0"/>
              <w:bottom w:val="single" w:color="000000" w:sz="2" w:space="0"/>
            </w:tcBorders>
            <w:tcW w:w="604" w:type="pct"/>
            <w:vAlign w:val="center"/>
            <w:textDirection w:val="lrTb"/>
            <w:noWrap w:val="false"/>
          </w:tcPr>
          <w:p>
            <w:pPr>
              <w:jc w:val="center"/>
              <w:spacing w:line="264" w:lineRule="auto"/>
              <w:rPr>
                <w:rFonts w:hint="eastAsia" w:ascii="宋体" w:hAnsi="宋体" w:eastAsia="宋体" w:cs="Times New Roman"/>
                <w:bCs/>
                <w:sz w:val="24"/>
                <w:szCs w:val="24"/>
              </w:rPr>
            </w:pPr>
            <w:r>
              <w:rPr>
                <w:rFonts w:hint="eastAsia" w:ascii="宋体" w:hAnsi="宋体" w:eastAsia="宋体" w:cs="宋体"/>
                <w:bCs/>
                <w:sz w:val="24"/>
                <w:szCs w:val="24"/>
              </w:rPr>
              <w:t xml:space="preserve">191万元</w:t>
            </w:r>
            <w:r/>
          </w:p>
        </w:tc>
        <w:tc>
          <w:tcPr>
            <w:tcBorders>
              <w:top w:val="single" w:color="000000" w:sz="2" w:space="0"/>
              <w:bottom w:val="single" w:color="000000" w:sz="2" w:space="0"/>
            </w:tcBorders>
            <w:tcW w:w="848" w:type="pct"/>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2" w:space="0"/>
              <w:bottom w:val="single" w:color="000000" w:sz="2" w:space="0"/>
            </w:tcBorders>
            <w:tcW w:w="650" w:type="pct"/>
            <w:vAlign w:val="center"/>
            <w:textDirection w:val="lrTb"/>
            <w:noWrap w:val="false"/>
          </w:tcPr>
          <w:p>
            <w:pPr>
              <w:jc w:val="center"/>
              <w:spacing w:line="264" w:lineRule="auto"/>
              <w:rPr>
                <w:rFonts w:hint="eastAsia" w:ascii="宋体" w:hAnsi="宋体" w:eastAsia="宋体" w:cs="宋体"/>
                <w:bCs/>
                <w:sz w:val="24"/>
                <w:szCs w:val="24"/>
              </w:rPr>
            </w:pPr>
            <w:r>
              <w:rPr>
                <w:rFonts w:hint="eastAsia" w:ascii="宋体" w:hAnsi="宋体" w:eastAsia="宋体" w:cs="宋体"/>
                <w:bCs/>
                <w:sz w:val="24"/>
                <w:szCs w:val="24"/>
              </w:rPr>
            </w:r>
            <w:r/>
          </w:p>
        </w:tc>
      </w:tr>
    </w:tbl>
    <w:p>
      <w:pPr>
        <w:ind w:firstLine="480"/>
        <w:spacing w:line="264" w:lineRule="auto"/>
        <w:rPr>
          <w:rFonts w:hint="eastAsia" w:ascii="宋体" w:hAnsi="宋体" w:eastAsia="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（一）技术要求</w:t>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023"/>
        <w:gridCol w:w="1281"/>
        <w:gridCol w:w="5943"/>
      </w:tblGrid>
      <w:tr>
        <w:trPr/>
        <w:tc>
          <w:tcPr>
            <w:tcW w:w="42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分类</w:t>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w:t>
            </w:r>
            <w:r/>
          </w:p>
        </w:tc>
        <w:tc>
          <w:tcPr>
            <w:tcW w:w="330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要求</w:t>
            </w:r>
            <w:r/>
          </w:p>
        </w:tc>
      </w:tr>
      <w:tr>
        <w:trPr/>
        <w:tc>
          <w:tcPr>
            <w:tcW w:w="42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赛前专项测试服务</w:t>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赛前专项测试</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ascii="宋体" w:hAnsi="宋体" w:eastAsia="宋体" w:cs="宋体"/>
                <w:szCs w:val="21"/>
              </w:rPr>
              <w:t xml:space="preserve">▲</w:t>
            </w:r>
            <w:r>
              <w:rPr>
                <w:rFonts w:hint="eastAsia" w:ascii="宋体" w:hAnsi="宋体" w:eastAsia="宋体" w:cs="Times New Roman"/>
                <w:sz w:val="24"/>
                <w:szCs w:val="24"/>
              </w:rPr>
              <w:t xml:space="preserve">组织专业安全团队对拟态防御设备、多维度场景架构及赛题环境开展不少于两轮次、每轮不少于10天的安全深度测试，提供详尽的测试分析报告及优化建议方案。</w:t>
            </w:r>
            <w:r/>
          </w:p>
        </w:tc>
      </w:tr>
      <w:tr>
        <w:trPr/>
        <w:tc>
          <w:tcPr>
            <w:tcW w:w="420"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赛事运维管理服务</w:t>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赛事运维管理</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提供赛事网络运维、选手网络及设备运维、网络策略调整等全流程保障；提供多语种技术咨询通道，支持选手参赛过程中的实时问题解答；提供从赛题环境部署到赛时运维全程保障。</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赛事专家指导</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1、QQ群指导咨询服务：需提供QQ群在线指导服务，从报名、初赛、决赛各阶段为参赛团队提供信息填报、资料审核报名等咨询、答疑服务。</w:t>
            </w:r>
            <w:r/>
          </w:p>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2、电话指导咨询服务：需提供电话指导服务，从报名、初赛、决赛各阶段为参赛团队提供信息填报、资料审核报名等咨询、答疑服务。</w:t>
            </w:r>
            <w:r/>
          </w:p>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3、邮箱指导咨询服务：需提供邮箱指导服务，从报名、初赛、决赛各阶段为参赛团队提供信息填报、资料审核报名等咨询、答疑服务。</w:t>
            </w:r>
            <w:r/>
          </w:p>
        </w:tc>
      </w:tr>
      <w:tr>
        <w:trPr/>
        <w:tc>
          <w:tcPr>
            <w:tcW w:w="420"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选手组织运营服务</w:t>
            </w:r>
            <w:r/>
          </w:p>
        </w:tc>
        <w:tc>
          <w:tcPr>
            <w:gridSpan w:val="2"/>
            <w:tcW w:w="1279"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选手邀请招募</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ascii="宋体" w:hAnsi="宋体" w:eastAsia="宋体" w:cs="宋体"/>
                <w:szCs w:val="21"/>
              </w:rPr>
              <w:t xml:space="preserve">▲</w:t>
            </w:r>
            <w:r>
              <w:rPr>
                <w:rFonts w:hint="eastAsia" w:ascii="宋体" w:hAnsi="宋体" w:eastAsia="宋体" w:cs="Times New Roman"/>
                <w:sz w:val="24"/>
                <w:szCs w:val="24"/>
              </w:rPr>
              <w:t xml:space="preserve">包含全球顶尖网络安全战队的定向邀请及赛事全程保障，核心赛道定向邀请和公开招募不少于30支国内参赛队伍（120人），不少于10支国际顶尖参赛队伍（40人）；邀请战队历史成绩至少含国内/国际顶尖赛事一等奖（或前三名）1次。</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配备专业级同声传译及技术文档翻译服务。</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选手餐饮</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提供不少于160人的4天中餐、晚餐、茶歇会务，餐式为中式快餐盒饭，餐标为不低于25元/餐。</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饮用水</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提供不少于160*2*4瓶饮用水，550ml。</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选手住宿</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赛场附近酒店，提供不少于160人的5天住宿酒店，酒店标准不低于四星级，住宿费含单早。</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往返费用</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提供不少于40人国际机票的往返费用，不少于120人国内高铁或机票的往返费用，高铁为二等座、机票为经济舱。</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赛事用车</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提供选手每天往返酒店至比赛现场的车辆，提供不少于3辆54座大巴车，比赛场地位于紫金山实验室园区。</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现场组织</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组织选手的签到入住、生活指南、前往比赛现场的指引、离店办理。</w:t>
            </w:r>
            <w:r/>
          </w:p>
        </w:tc>
      </w:tr>
      <w:tr>
        <w:trPr/>
        <w:tc>
          <w:tcPr>
            <w:tcW w:w="420"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现场设备租赁服务</w:t>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租期</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提供下列不少于15天现场设备租赁；</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高性能服务器租赁</w:t>
            </w:r>
            <w:r/>
          </w:p>
        </w:tc>
        <w:tc>
          <w:tcPr>
            <w:tcW w:w="3300" w:type="pct"/>
            <w:vAlign w:val="center"/>
            <w:textDirection w:val="lrTb"/>
            <w:noWrap w:val="false"/>
          </w:tcPr>
          <w:p>
            <w:pPr>
              <w:spacing w:line="264"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提供不少于10台高性能服务器租赁，每台配置要求如下：</w:t>
            </w:r>
            <w:r/>
          </w:p>
          <w:p>
            <w:pPr>
              <w:spacing w:line="264"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CPU：高性能双颗CPU，不低于20核40线程；</w:t>
            </w:r>
            <w:r/>
          </w:p>
          <w:p>
            <w:pPr>
              <w:spacing w:line="264"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内存：不低于256G内存；</w:t>
            </w:r>
            <w:r/>
          </w:p>
          <w:p>
            <w:pPr>
              <w:spacing w:line="264"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硬盘：不少于2TB固态硬盘；</w:t>
            </w:r>
            <w:r/>
          </w:p>
          <w:p>
            <w:pPr>
              <w:spacing w:line="264"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网卡配置：不少于2个GE网口、2个10GE网口；</w:t>
            </w:r>
            <w:r/>
          </w:p>
          <w:p>
            <w:pPr>
              <w:spacing w:line="264"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电源配置：双电源模块配置，不低于550W。</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交换机租赁</w:t>
            </w:r>
            <w:r/>
          </w:p>
        </w:tc>
        <w:tc>
          <w:tcPr>
            <w:tcW w:w="3300" w:type="pct"/>
            <w:vAlign w:val="center"/>
            <w:textDirection w:val="lrTb"/>
            <w:noWrap w:val="false"/>
          </w:tcPr>
          <w:p>
            <w:pPr>
              <w:spacing w:line="264"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提供不少于6台交换机租赁，每台配置要求如下：</w:t>
            </w:r>
            <w:r/>
          </w:p>
          <w:p>
            <w:pPr>
              <w:spacing w:line="264"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不少于48口千兆、4口万兆交换机。</w:t>
            </w:r>
            <w:r/>
          </w:p>
        </w:tc>
      </w:tr>
      <w:tr>
        <w:trPr/>
        <w:tc>
          <w:tcPr>
            <w:tcW w:w="42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赛场综合布线服务</w:t>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布线系统</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ascii="宋体" w:hAnsi="宋体" w:eastAsia="宋体" w:cs="宋体"/>
                <w:szCs w:val="21"/>
              </w:rPr>
              <w:t xml:space="preserve">▲</w:t>
            </w:r>
            <w:r>
              <w:rPr>
                <w:rFonts w:hint="eastAsia" w:ascii="宋体" w:hAnsi="宋体" w:eastAsia="宋体" w:cs="Times New Roman"/>
                <w:sz w:val="24"/>
                <w:szCs w:val="24"/>
              </w:rPr>
              <w:t xml:space="preserve">需为本次赛事顺利进行而特别设计一套布线系统。采用一系列高质量的标准材料，以模块化的组合方式，把赛事现场的数据通信设备、交换设备和网络等用统一的传输媒介进行综合，包括将终端设备连接到信息插座之间的设备，提供包括：信息插座、插座盒、连接跳线和适配器等，满足不少于160名选手及工作人员的用电。</w:t>
            </w:r>
            <w:r/>
          </w:p>
        </w:tc>
      </w:tr>
      <w:tr>
        <w:trPr/>
        <w:tc>
          <w:tcPr>
            <w:tcW w:w="420"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会务搭建服务</w:t>
            </w:r>
            <w:r/>
          </w:p>
        </w:tc>
        <w:tc>
          <w:tcPr>
            <w:tcW w:w="568"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比赛外场氛围</w:t>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大赛主题立体字</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1个，规格为</w:t>
            </w:r>
            <w:r>
              <w:rPr>
                <w:rFonts w:ascii="宋体" w:hAnsi="宋体" w:eastAsia="宋体" w:cs="Times New Roman"/>
                <w:sz w:val="24"/>
                <w:szCs w:val="24"/>
              </w:rPr>
              <w:t xml:space="preserve">10*1.4m</w:t>
            </w:r>
            <w:r>
              <w:rPr>
                <w:rFonts w:hint="eastAsia" w:ascii="宋体" w:hAnsi="宋体" w:eastAsia="宋体" w:cs="Times New Roman"/>
                <w:sz w:val="24"/>
                <w:szCs w:val="24"/>
              </w:rPr>
              <w:t xml:space="preserve">，木制底座，PVC雕刻字、亚克力支撑。</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背景板</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1套，规格为</w:t>
            </w:r>
            <w:r>
              <w:rPr>
                <w:rFonts w:ascii="宋体" w:hAnsi="宋体" w:eastAsia="宋体" w:cs="Times New Roman"/>
                <w:sz w:val="24"/>
                <w:szCs w:val="24"/>
              </w:rPr>
              <w:t xml:space="preserve">6.8*3*1.5m</w:t>
            </w:r>
            <w:r>
              <w:rPr>
                <w:rFonts w:hint="eastAsia" w:ascii="宋体" w:hAnsi="宋体" w:eastAsia="宋体" w:cs="Times New Roman"/>
                <w:sz w:val="24"/>
                <w:szCs w:val="24"/>
              </w:rPr>
              <w:t xml:space="preserve">，加厚黑胶1号布喷绘+桁架结构配重。</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参赛路线指引</w:t>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指示牌</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2个，规格为0.8*2m（H)，KT板单面印刷、合金结构支撑。</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电梯楼层车贴</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2个，规格为</w:t>
            </w:r>
            <w:r>
              <w:rPr>
                <w:rFonts w:ascii="宋体" w:hAnsi="宋体" w:eastAsia="宋体" w:cs="Times New Roman"/>
                <w:sz w:val="24"/>
                <w:szCs w:val="24"/>
              </w:rPr>
              <w:t xml:space="preserve">7*3cm</w:t>
            </w:r>
            <w:r>
              <w:rPr>
                <w:rFonts w:hint="eastAsia" w:ascii="宋体" w:hAnsi="宋体" w:eastAsia="宋体" w:cs="Times New Roman"/>
                <w:sz w:val="24"/>
                <w:szCs w:val="24"/>
              </w:rPr>
              <w:t xml:space="preserve">，可移除车贴。</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比赛签到处</w:t>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签到主视觉背景板</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1套，规格为</w:t>
            </w:r>
            <w:r>
              <w:rPr>
                <w:rFonts w:ascii="宋体" w:hAnsi="宋体" w:eastAsia="宋体" w:cs="Times New Roman"/>
                <w:sz w:val="24"/>
                <w:szCs w:val="24"/>
              </w:rPr>
              <w:t xml:space="preserve">5.4*2.6m</w:t>
            </w:r>
            <w:r>
              <w:rPr>
                <w:rFonts w:hint="eastAsia" w:ascii="宋体" w:hAnsi="宋体" w:eastAsia="宋体" w:cs="Times New Roman"/>
                <w:sz w:val="24"/>
                <w:szCs w:val="24"/>
              </w:rPr>
              <w:t xml:space="preserve">，加厚黑胶1号布喷绘+桁架结构配重。</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赛事介绍背景板</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1套，规格为</w:t>
            </w:r>
            <w:r>
              <w:rPr>
                <w:rFonts w:ascii="宋体" w:hAnsi="宋体" w:eastAsia="宋体" w:cs="Times New Roman"/>
                <w:sz w:val="24"/>
                <w:szCs w:val="24"/>
              </w:rPr>
              <w:t xml:space="preserve">5.6*2.6m</w:t>
            </w:r>
            <w:r>
              <w:rPr>
                <w:rFonts w:hint="eastAsia" w:ascii="宋体" w:hAnsi="宋体" w:eastAsia="宋体" w:cs="Times New Roman"/>
                <w:sz w:val="24"/>
                <w:szCs w:val="24"/>
              </w:rPr>
              <w:t xml:space="preserve">，加厚黑胶1号布喷绘+桁架结构配重。</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桌椅</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2套，每套1桌2椅。</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胸牌</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254个，规格为</w:t>
            </w:r>
            <w:r>
              <w:rPr>
                <w:rFonts w:ascii="宋体" w:hAnsi="宋体" w:eastAsia="宋体" w:cs="Times New Roman"/>
                <w:sz w:val="24"/>
                <w:szCs w:val="24"/>
              </w:rPr>
              <w:t xml:space="preserve">12*8cm</w:t>
            </w:r>
            <w:r>
              <w:rPr>
                <w:rFonts w:hint="eastAsia" w:ascii="宋体" w:hAnsi="宋体" w:eastAsia="宋体" w:cs="Times New Roman"/>
                <w:sz w:val="24"/>
                <w:szCs w:val="24"/>
              </w:rPr>
              <w:t xml:space="preserve">，PVC双面印刷、带挂绳。</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章鱼贴</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8个，规格为</w:t>
            </w:r>
            <w:r>
              <w:rPr>
                <w:rFonts w:ascii="宋体" w:hAnsi="宋体" w:eastAsia="宋体" w:cs="Times New Roman"/>
                <w:sz w:val="24"/>
                <w:szCs w:val="24"/>
              </w:rPr>
              <w:t xml:space="preserve">150*150cm</w:t>
            </w:r>
            <w:r>
              <w:rPr>
                <w:rFonts w:hint="eastAsia" w:ascii="宋体" w:hAnsi="宋体" w:eastAsia="宋体" w:cs="Times New Roman"/>
                <w:sz w:val="24"/>
                <w:szCs w:val="24"/>
              </w:rPr>
              <w:t xml:space="preserve">，KT板。</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直播间二维码指示牌</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2个，规格为0.8*2m（H)，KT板单面印刷、合金结构支撑。</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直播控台围挡</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1项，规格为</w:t>
            </w:r>
            <w:r>
              <w:rPr>
                <w:rFonts w:ascii="宋体" w:hAnsi="宋体" w:eastAsia="宋体" w:cs="Times New Roman"/>
                <w:sz w:val="24"/>
                <w:szCs w:val="24"/>
              </w:rPr>
              <w:t xml:space="preserve">3.6*1.2</w:t>
            </w:r>
            <w:r>
              <w:rPr>
                <w:rFonts w:hint="eastAsia" w:ascii="宋体" w:hAnsi="宋体" w:eastAsia="宋体" w:cs="Times New Roman"/>
                <w:sz w:val="24"/>
                <w:szCs w:val="24"/>
              </w:rPr>
              <w:t xml:space="preserve">m，加厚黑胶1号布喷绘+桁架结构配重。</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沙发</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1张，白色。</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指引地贴</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4个，规格为</w:t>
            </w:r>
            <w:r>
              <w:rPr>
                <w:rFonts w:ascii="宋体" w:hAnsi="宋体" w:eastAsia="宋体" w:cs="Times New Roman"/>
                <w:sz w:val="24"/>
                <w:szCs w:val="24"/>
              </w:rPr>
              <w:t xml:space="preserve">1*1m</w:t>
            </w:r>
            <w:r>
              <w:rPr>
                <w:rFonts w:hint="eastAsia" w:ascii="宋体" w:hAnsi="宋体" w:eastAsia="宋体" w:cs="Times New Roman"/>
                <w:sz w:val="24"/>
                <w:szCs w:val="24"/>
              </w:rPr>
              <w:t xml:space="preserve">。</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拍照手举牌</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1项，KT板单面画面。</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比赛会场</w:t>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LED大屏</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1套，规格为</w:t>
            </w:r>
            <w:r>
              <w:rPr>
                <w:rFonts w:ascii="宋体" w:hAnsi="宋体" w:eastAsia="宋体" w:cs="Times New Roman"/>
                <w:sz w:val="24"/>
                <w:szCs w:val="24"/>
              </w:rPr>
              <w:t xml:space="preserve">15*4.5m</w:t>
            </w:r>
            <w:r>
              <w:rPr>
                <w:rFonts w:hint="eastAsia" w:ascii="宋体" w:hAnsi="宋体" w:eastAsia="宋体" w:cs="Times New Roman"/>
                <w:sz w:val="24"/>
                <w:szCs w:val="24"/>
              </w:rPr>
              <w:t xml:space="preserve">。</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队旗背景板</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1套，规格为</w:t>
            </w:r>
            <w:r>
              <w:rPr>
                <w:rFonts w:ascii="宋体" w:hAnsi="宋体" w:eastAsia="宋体" w:cs="Times New Roman"/>
                <w:sz w:val="24"/>
                <w:szCs w:val="24"/>
              </w:rPr>
              <w:t xml:space="preserve">10*3m</w:t>
            </w:r>
            <w:r>
              <w:rPr>
                <w:rFonts w:hint="eastAsia" w:ascii="宋体" w:hAnsi="宋体" w:eastAsia="宋体" w:cs="Times New Roman"/>
                <w:sz w:val="24"/>
                <w:szCs w:val="24"/>
              </w:rPr>
              <w:t xml:space="preserve">，加厚黑胶1号布喷绘+桁架结构配重。</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舞台</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1套，规格为</w:t>
            </w:r>
            <w:r>
              <w:rPr>
                <w:rFonts w:ascii="宋体" w:hAnsi="宋体" w:eastAsia="宋体" w:cs="Times New Roman"/>
                <w:sz w:val="24"/>
                <w:szCs w:val="24"/>
              </w:rPr>
              <w:t xml:space="preserve">15.8m*4.88*0.6m(h)</w:t>
            </w:r>
            <w:r>
              <w:rPr>
                <w:rFonts w:hint="eastAsia" w:ascii="宋体" w:hAnsi="宋体" w:eastAsia="宋体" w:cs="Times New Roman"/>
                <w:sz w:val="24"/>
                <w:szCs w:val="24"/>
              </w:rPr>
              <w:t xml:space="preserve">，5cm的厚舞台板+8cm钢架结构。</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舞台两侧台阶</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1项，钢架结构覆木板。</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舞台地毯</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不低于108平方，根据舞台尺寸计算。</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线阵音响</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1项。</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演讲台包装</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1项，规格为</w:t>
            </w:r>
            <w:r>
              <w:rPr>
                <w:rFonts w:ascii="宋体" w:hAnsi="宋体" w:eastAsia="宋体" w:cs="Times New Roman"/>
                <w:sz w:val="24"/>
                <w:szCs w:val="24"/>
              </w:rPr>
              <w:t xml:space="preserve">86*45*108cm</w:t>
            </w:r>
            <w:r>
              <w:rPr>
                <w:rFonts w:hint="eastAsia" w:ascii="宋体" w:hAnsi="宋体" w:eastAsia="宋体" w:cs="Times New Roman"/>
                <w:sz w:val="24"/>
                <w:szCs w:val="24"/>
              </w:rPr>
              <w:t xml:space="preserve">，KT板单面画面。</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沙发</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10个。</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嘉宾座椅</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20个。</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控制台</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LED帕灯16个，面光灯。</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灯光架2个，帕灯灯光架。</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v6大屏控台1项</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S3处理器1项。</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控台电脑1项。</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灯光控台1项。</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32路调音台1项。</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麦克风1项，包括鹅颈麦2个、手持麦4个。</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控台包装1项，规格为（1.2+6+1.2）*1.2m，加厚黑胶1号布喷绘+桁架结构配重。</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比赛桌子</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90张，规格为</w:t>
            </w:r>
            <w:r>
              <w:rPr>
                <w:rFonts w:ascii="宋体" w:hAnsi="宋体" w:eastAsia="宋体" w:cs="Times New Roman"/>
                <w:sz w:val="24"/>
                <w:szCs w:val="24"/>
              </w:rPr>
              <w:t xml:space="preserve">1.8*0.6*0.75</w:t>
            </w:r>
            <w:r>
              <w:rPr>
                <w:rFonts w:hint="eastAsia" w:ascii="宋体" w:hAnsi="宋体" w:eastAsia="宋体" w:cs="Times New Roman"/>
                <w:sz w:val="24"/>
                <w:szCs w:val="24"/>
              </w:rPr>
              <w:t xml:space="preserve">m，IBM桌子,白色。</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比赛椅子</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180个，IBM椅子,白色。</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战队桌围包装</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80个，规格为</w:t>
            </w:r>
            <w:r>
              <w:rPr>
                <w:rFonts w:ascii="宋体" w:hAnsi="宋体" w:eastAsia="宋体" w:cs="Times New Roman"/>
                <w:sz w:val="24"/>
                <w:szCs w:val="24"/>
              </w:rPr>
              <w:t xml:space="preserve">1.2m*0.7m(H)</w:t>
            </w:r>
            <w:r>
              <w:rPr>
                <w:rFonts w:hint="eastAsia" w:ascii="宋体" w:hAnsi="宋体" w:eastAsia="宋体" w:cs="Times New Roman"/>
                <w:sz w:val="24"/>
                <w:szCs w:val="24"/>
              </w:rPr>
              <w:t xml:space="preserve">，KT板单面画面。</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裁判区桌围包装</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2个，规格为0.6*0.7m，KT板单面画面。</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Y型队旗</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40个，金属结构、旗帜布双面画面。</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直播区</w:t>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背景板</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1套，规格为</w:t>
            </w:r>
            <w:r>
              <w:rPr>
                <w:rFonts w:ascii="宋体" w:hAnsi="宋体" w:eastAsia="宋体" w:cs="Times New Roman"/>
                <w:sz w:val="24"/>
                <w:szCs w:val="24"/>
              </w:rPr>
              <w:t xml:space="preserve">5*3m</w:t>
            </w:r>
            <w:r>
              <w:rPr>
                <w:rFonts w:hint="eastAsia" w:ascii="宋体" w:hAnsi="宋体" w:eastAsia="宋体" w:cs="Times New Roman"/>
                <w:sz w:val="24"/>
                <w:szCs w:val="24"/>
              </w:rPr>
              <w:t xml:space="preserve">，加厚黑胶1号布喷绘+桁架结构配重。</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桌围</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1套，含3*0.76m*1个，54*20cm*1个,16*6cm*3个，KT板单面画面。</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嘉宾采访室</w:t>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指示牌</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2个，规格为0.8*2m（H)，KT板单面印刷、合金结构支撑。</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公共空间</w:t>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主视觉背景板</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1套，规格为</w:t>
            </w:r>
            <w:r>
              <w:rPr>
                <w:rFonts w:ascii="宋体" w:hAnsi="宋体" w:eastAsia="宋体" w:cs="Times New Roman"/>
                <w:sz w:val="24"/>
                <w:szCs w:val="24"/>
              </w:rPr>
              <w:t xml:space="preserve">5.4*2.6m</w:t>
            </w:r>
            <w:r>
              <w:rPr>
                <w:rFonts w:hint="eastAsia" w:ascii="宋体" w:hAnsi="宋体" w:eastAsia="宋体" w:cs="Times New Roman"/>
                <w:sz w:val="24"/>
                <w:szCs w:val="24"/>
              </w:rPr>
              <w:t xml:space="preserve">。</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比赛运维区</w:t>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指示牌</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2个，规格为0.8*2m（H)，KT板单面印刷、合金结构支撑。</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其他物料与人员</w:t>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开幕式启动仪式道具</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1项，定制视频，不少于10秒，流媒体素材制作。</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颁奖牌</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15个，规格为</w:t>
            </w:r>
            <w:r>
              <w:rPr>
                <w:rFonts w:ascii="宋体" w:hAnsi="宋体" w:eastAsia="宋体" w:cs="Times New Roman"/>
                <w:sz w:val="24"/>
                <w:szCs w:val="24"/>
              </w:rPr>
              <w:t xml:space="preserve">120*60cm</w:t>
            </w:r>
            <w:r>
              <w:rPr>
                <w:rFonts w:hint="eastAsia" w:ascii="宋体" w:hAnsi="宋体" w:eastAsia="宋体" w:cs="Times New Roman"/>
                <w:sz w:val="24"/>
                <w:szCs w:val="24"/>
              </w:rPr>
              <w:t xml:space="preserve">，KT板单面画面。</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荣誉证书</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106个，红色荣誉证书。</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奖杯</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64个，定制尺寸约26*9cm。</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主持人手卡</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20张，规格为</w:t>
            </w:r>
            <w:r>
              <w:rPr>
                <w:rFonts w:ascii="宋体" w:hAnsi="宋体" w:eastAsia="宋体" w:cs="Times New Roman"/>
                <w:sz w:val="24"/>
                <w:szCs w:val="24"/>
              </w:rPr>
              <w:t xml:space="preserve">15*10cm</w:t>
            </w:r>
            <w:r>
              <w:rPr>
                <w:rFonts w:hint="eastAsia" w:ascii="宋体" w:hAnsi="宋体" w:eastAsia="宋体" w:cs="Times New Roman"/>
                <w:sz w:val="24"/>
                <w:szCs w:val="24"/>
              </w:rPr>
              <w:t xml:space="preserve">，250g铜版纸。</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选手合影手举牌</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1项，定制设计，KT板单面画面。</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洗手间指示牌</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1个，规格为0.8*2m（H)，KT板单面印刷、合金结构支撑。</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礼仪</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闭幕式2人，身高165cm，半天时长，含服装。</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跟妆造型师</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1名，提供不少于2天跟妆造型设计。</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现场执行</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4天，赛期维护。</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进撤场搭建人工</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26人工，包含进场搭建、赛后撤场。</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运输</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3车，包含进场、撤场。</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568"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71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赛事图背板</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1套，规格为</w:t>
            </w:r>
            <w:r>
              <w:rPr>
                <w:rFonts w:ascii="宋体" w:hAnsi="宋体" w:eastAsia="宋体" w:cs="Times New Roman"/>
                <w:sz w:val="24"/>
                <w:szCs w:val="24"/>
              </w:rPr>
              <w:t xml:space="preserve">5.2*2.2m</w:t>
            </w:r>
            <w:r>
              <w:rPr>
                <w:rFonts w:hint="eastAsia" w:ascii="宋体" w:hAnsi="宋体" w:eastAsia="宋体" w:cs="Times New Roman"/>
                <w:sz w:val="24"/>
                <w:szCs w:val="24"/>
              </w:rPr>
              <w:t xml:space="preserve">，加厚黑胶1号布喷绘+桁架结构配重。</w:t>
            </w:r>
            <w:r/>
          </w:p>
        </w:tc>
      </w:tr>
      <w:tr>
        <w:trPr/>
        <w:tc>
          <w:tcPr>
            <w:tcW w:w="420"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赛事宣传服务</w:t>
            </w:r>
            <w:r/>
          </w:p>
        </w:tc>
        <w:tc>
          <w:tcPr>
            <w:gridSpan w:val="2"/>
            <w:tcW w:w="1279"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宣传稿件</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ascii="宋体" w:hAnsi="宋体" w:eastAsia="宋体" w:cs="宋体"/>
                <w:szCs w:val="21"/>
              </w:rPr>
              <w:t xml:space="preserve">▲</w:t>
            </w:r>
            <w:r>
              <w:rPr>
                <w:rFonts w:hint="eastAsia" w:ascii="宋体" w:hAnsi="宋体" w:eastAsia="宋体" w:cs="Times New Roman"/>
                <w:sz w:val="24"/>
                <w:szCs w:val="24"/>
              </w:rPr>
              <w:t xml:space="preserve">策划撰写至少2篇赛事宣传稿件，至少发布于省级及以上媒体，强化赛事影响力与关注度。</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ascii="宋体" w:hAnsi="宋体" w:eastAsia="宋体" w:cs="宋体"/>
                <w:szCs w:val="21"/>
              </w:rPr>
              <w:t xml:space="preserve">▲</w:t>
            </w:r>
            <w:r>
              <w:rPr>
                <w:rFonts w:hint="eastAsia" w:ascii="宋体" w:hAnsi="宋体" w:eastAsia="宋体" w:cs="Times New Roman"/>
                <w:sz w:val="24"/>
                <w:szCs w:val="24"/>
              </w:rPr>
              <w:t xml:space="preserve">每篇稿件发布不少于80家媒体、不少于7家门户、不少于10家垂直媒体、不少于3家手机移动端媒体。</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赛事直播</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ascii="宋体" w:hAnsi="宋体" w:eastAsia="宋体" w:cs="宋体"/>
                <w:szCs w:val="21"/>
              </w:rPr>
              <w:t xml:space="preserve">▲</w:t>
            </w:r>
            <w:r>
              <w:rPr>
                <w:rFonts w:hint="eastAsia" w:ascii="宋体" w:hAnsi="宋体" w:eastAsia="宋体" w:cs="Times New Roman"/>
                <w:sz w:val="24"/>
                <w:szCs w:val="24"/>
              </w:rPr>
              <w:t xml:space="preserve">提供不少于2天的赛事直播平台；赛事直播需至少提前半天进行彩排。</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赛事直播期间需提供至少1条不少于5分钟的经典赛事画面。</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摄影摄像</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提供不少于3天的专业摄影摄像服务支撑。</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视频制作</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提供不少于4分钟赛事亮点集锦影片。</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ascii="宋体" w:hAnsi="宋体" w:eastAsia="宋体" w:cs="宋体"/>
                <w:szCs w:val="21"/>
              </w:rPr>
              <w:t xml:space="preserve">▲</w:t>
            </w:r>
            <w:r>
              <w:rPr>
                <w:rFonts w:hint="eastAsia" w:ascii="宋体" w:hAnsi="宋体" w:eastAsia="宋体" w:cs="Times New Roman"/>
                <w:sz w:val="24"/>
                <w:szCs w:val="24"/>
              </w:rPr>
              <w:t xml:space="preserve">提供不少于40队伍战队介绍视频，总计时长不少于4分钟。</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提供第八届赛事总结视频，时长不少于5分钟。</w:t>
            </w:r>
            <w:r/>
          </w:p>
        </w:tc>
      </w:tr>
      <w:tr>
        <w:trPr/>
        <w:tc>
          <w:tcPr>
            <w:tcW w:w="420" w:type="pct"/>
            <w:vAlign w:val="center"/>
            <w:vMerge w:val="restart"/>
            <w:textDirection w:val="lrTb"/>
            <w:noWrap w:val="false"/>
          </w:tcPr>
          <w:p>
            <w:pPr>
              <w:jc w:val="center"/>
              <w:spacing w:line="264" w:lineRule="auto"/>
              <w:rPr>
                <w:rFonts w:hint="eastAsia" w:ascii="宋体" w:hAnsi="宋体" w:eastAsia="宋体" w:cs="Times New Roman"/>
                <w:sz w:val="24"/>
                <w:szCs w:val="24"/>
              </w:rPr>
            </w:pPr>
            <w:r/>
            <w:bookmarkStart w:id="49" w:name="_Hlk211507258"/>
            <w:r>
              <w:rPr>
                <w:rFonts w:hint="eastAsia" w:ascii="宋体" w:hAnsi="宋体" w:eastAsia="宋体" w:cs="Times New Roman"/>
                <w:sz w:val="24"/>
                <w:szCs w:val="24"/>
              </w:rPr>
              <w:t xml:space="preserve">项目管理服务</w:t>
            </w:r>
            <w:r/>
          </w:p>
        </w:tc>
        <w:tc>
          <w:tcPr>
            <w:gridSpan w:val="2"/>
            <w:tcW w:w="1279" w:type="pct"/>
            <w:vAlign w:val="center"/>
            <w:vMerge w:val="restart"/>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项目支撑人员</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提供不少于1名项目经理；</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提供不少于1名市场经理；</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提供不少于2名选手运营经理；</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提供不少于1名新闻宣发经理；</w:t>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提供不少于3名拥有网络安全丰富经验、主持过省级以上比赛主持经验的主持人的直播服务。</w:t>
            </w:r>
            <w:bookmarkEnd w:id="49"/>
            <w:r/>
            <w:r/>
          </w:p>
        </w:tc>
      </w:tr>
      <w:tr>
        <w:trPr/>
        <w:tc>
          <w:tcPr>
            <w:tcW w:w="420" w:type="pct"/>
            <w:vAlign w:val="center"/>
            <w:vMerge w:val="continue"/>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赛事总结报告</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赛事结束后，需提供赛事服务总结报告。</w:t>
            </w:r>
            <w:r/>
          </w:p>
        </w:tc>
      </w:tr>
      <w:tr>
        <w:trPr/>
        <w:tc>
          <w:tcPr>
            <w:tcW w:w="42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赛题定制服务</w:t>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赛题定制</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ascii="宋体" w:hAnsi="宋体" w:eastAsia="宋体" w:cs="宋体"/>
                <w:szCs w:val="21"/>
              </w:rPr>
              <w:t xml:space="preserve">▲</w:t>
            </w:r>
            <w:r>
              <w:rPr>
                <w:rFonts w:hint="eastAsia" w:ascii="宋体" w:hAnsi="宋体" w:eastAsia="宋体" w:cs="Times New Roman"/>
                <w:sz w:val="24"/>
                <w:szCs w:val="24"/>
              </w:rPr>
              <w:t xml:space="preserve">提供夺旗赛赛题不少于20道，题目方向至少应包含拟态思路题、逆向工程、密码学、Web安全、二进制漏洞利用等方向赛题，赛题整体难易度为0:2:3（低中高）比例。</w:t>
            </w:r>
            <w:r/>
          </w:p>
        </w:tc>
      </w:tr>
      <w:tr>
        <w:trPr/>
        <w:tc>
          <w:tcPr>
            <w:tcW w:w="420"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其他</w:t>
            </w:r>
            <w:r/>
          </w:p>
        </w:tc>
        <w:tc>
          <w:tcPr>
            <w:gridSpan w:val="2"/>
            <w:tcW w:w="1279" w:type="pct"/>
            <w:vAlign w:val="center"/>
            <w:textDirection w:val="lrTb"/>
            <w:noWrap w:val="false"/>
          </w:tcPr>
          <w:p>
            <w:pPr>
              <w:jc w:val="cente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测试服务费</w:t>
            </w:r>
            <w:r/>
          </w:p>
        </w:tc>
        <w:tc>
          <w:tcPr>
            <w:tcW w:w="3300" w:type="pct"/>
            <w:vAlign w:val="center"/>
            <w:textDirection w:val="lrTb"/>
            <w:noWrap w:val="false"/>
          </w:tcPr>
          <w:p>
            <w:pPr>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由成交供应商组织参赛选手对所有设备进行系统测试，测试服务费总额不超过人民币</w:t>
            </w:r>
            <w:r>
              <w:rPr>
                <w:rFonts w:ascii="宋体" w:hAnsi="宋体" w:eastAsia="宋体" w:cs="Times New Roman"/>
                <w:sz w:val="24"/>
                <w:szCs w:val="24"/>
              </w:rPr>
              <w:t xml:space="preserve">70</w:t>
            </w:r>
            <w:r>
              <w:rPr>
                <w:rFonts w:hint="eastAsia" w:ascii="宋体" w:hAnsi="宋体" w:eastAsia="宋体" w:cs="Times New Roman"/>
                <w:sz w:val="24"/>
                <w:szCs w:val="24"/>
              </w:rPr>
              <w:t xml:space="preserve">万元，赛事结束后，根据选手提交的测试成果，如成功发现的漏洞数量、漏洞的严重程度、攻击手法、攻击成果等，来评估测试服务的实际价值，并根据选手在比赛中的得分据此支付相应的测试服务费。但本项目测试服务费总额以</w:t>
            </w:r>
            <w:r>
              <w:rPr>
                <w:rFonts w:ascii="宋体" w:hAnsi="宋体" w:eastAsia="宋体" w:cs="Times New Roman"/>
                <w:sz w:val="24"/>
                <w:szCs w:val="24"/>
              </w:rPr>
              <w:t xml:space="preserve">70</w:t>
            </w:r>
            <w:r>
              <w:rPr>
                <w:rFonts w:hint="eastAsia" w:ascii="宋体" w:hAnsi="宋体" w:eastAsia="宋体" w:cs="Times New Roman"/>
                <w:sz w:val="24"/>
                <w:szCs w:val="24"/>
              </w:rPr>
              <w:t xml:space="preserve">万元为上限。具体标准详见“表1：测试服务费标准”。</w:t>
            </w:r>
            <w:r/>
          </w:p>
        </w:tc>
      </w:tr>
    </w:tbl>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tbl>
      <w:tblPr>
        <w:tblStyle w:val="921"/>
        <w:tblpPr w:horzAnchor="text" w:tblpX="14224" w:vertAnchor="text" w:tblpY="-955" w:leftFromText="180" w:topFromText="0" w:rightFromText="180" w:bottomFromText="0"/>
        <w:tblW w:w="2011"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3621"/>
      </w:tblGrid>
      <w:tr>
        <w:trPr>
          <w:trHeight w:val="30"/>
        </w:trPr>
        <w:tc>
          <w:tcPr>
            <w:tcW w:w="5000" w:type="pct"/>
            <w:textDirection w:val="lrTb"/>
            <w:noWrap w:val="false"/>
          </w:tcPr>
          <w:p>
            <w:pPr>
              <w:spacing w:line="264" w:lineRule="auto"/>
              <w:rPr>
                <w:rFonts w:hint="eastAsia" w:ascii="黑体" w:hAnsi="黑体" w:eastAsia="黑体" w:cs="黑体"/>
                <w:sz w:val="24"/>
                <w:szCs w:val="24"/>
              </w:rPr>
            </w:pPr>
            <w:r>
              <w:rPr>
                <w:rFonts w:hint="eastAsia" w:ascii="黑体" w:hAnsi="黑体" w:eastAsia="黑体" w:cs="黑体"/>
                <w:sz w:val="24"/>
                <w:szCs w:val="24"/>
              </w:rPr>
            </w:r>
            <w:r/>
          </w:p>
        </w:tc>
      </w:tr>
    </w:tbl>
    <w:p>
      <w:pPr>
        <w:spacing w:line="264" w:lineRule="auto"/>
        <w:rPr>
          <w:rFonts w:hint="eastAsia" w:ascii="黑体" w:hAnsi="黑体" w:eastAsia="黑体" w:cs="黑体"/>
          <w:sz w:val="24"/>
          <w:szCs w:val="24"/>
        </w:rPr>
      </w:pPr>
      <w:r>
        <w:rPr>
          <w:rFonts w:hint="eastAsia" w:ascii="黑体" w:hAnsi="黑体" w:eastAsia="黑体" w:cs="黑体"/>
          <w:sz w:val="24"/>
          <w:szCs w:val="24"/>
        </w:rPr>
        <w:t xml:space="preserve">表1：测试服务费标准</w:t>
      </w:r>
      <w:r/>
    </w:p>
    <w:tbl>
      <w:tblPr>
        <w:tblStyle w:val="89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210"/>
        <w:gridCol w:w="1831"/>
        <w:gridCol w:w="1017"/>
        <w:gridCol w:w="1455"/>
        <w:gridCol w:w="1161"/>
        <w:gridCol w:w="2329"/>
      </w:tblGrid>
      <w:tr>
        <w:trPr>
          <w:trHeight w:val="600"/>
        </w:trPr>
        <w:tc>
          <w:tcPr>
            <w:tcBorders>
              <w:top w:val="single" w:color="auto" w:sz="4" w:space="0"/>
              <w:left w:val="single" w:color="auto" w:sz="4" w:space="0"/>
              <w:bottom w:val="single" w:color="auto" w:sz="4" w:space="0"/>
              <w:right w:val="single" w:color="auto" w:sz="4" w:space="0"/>
            </w:tcBorders>
            <w:tcW w:w="672" w:type="pct"/>
            <w:vAlign w:val="center"/>
            <w:textDirection w:val="lrTb"/>
            <w:noWrap/>
          </w:tcPr>
          <w:p>
            <w:pPr>
              <w:jc w:val="center"/>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测试目标</w:t>
            </w:r>
            <w:r/>
          </w:p>
        </w:tc>
        <w:tc>
          <w:tcPr>
            <w:tcBorders>
              <w:top w:val="single" w:color="auto"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测试队伍排名</w:t>
            </w:r>
            <w:r/>
          </w:p>
        </w:tc>
        <w:tc>
          <w:tcPr>
            <w:tcBorders>
              <w:top w:val="single" w:color="auto"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测试队伍数</w:t>
            </w:r>
            <w:r/>
          </w:p>
        </w:tc>
        <w:tc>
          <w:tcPr>
            <w:tcBorders>
              <w:top w:val="single" w:color="auto"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基础测试费（万）</w:t>
            </w: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小计（万）</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验收标准</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restart"/>
            <w:textDirection w:val="lrTb"/>
            <w:noWrap w:val="false"/>
          </w:tcPr>
          <w:p>
            <w:pPr>
              <w:jc w:val="center"/>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XX场景系统1</w:t>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第1名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所有测试队伍对XX场景系统1的提交的测试报告中得分排名第1的1个战队，测试报告中需包含漏洞描述、漏洞利用方式以及漏洞利用结果截图</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第2~3名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所有测试队伍对XX场景系统1的提交的测试报告得分加上答辩得分总排名第2名和第3名的2个战队，测试报告中需包含漏洞描述、漏洞利用方式以及漏洞利用结果截图</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第4~6名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所有测试队伍对XX场景系统1的提交的测试报告得分加上答辩得分总排名第4名、第5名、第6名的3个战队，测试报告中需包含漏洞描述、漏洞利用方式以及漏洞利用结果截图</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restart"/>
            <w:textDirection w:val="lrTb"/>
            <w:noWrap w:val="false"/>
          </w:tcPr>
          <w:p>
            <w:pPr>
              <w:jc w:val="center"/>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XX场景系统2</w:t>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第1名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所有测试队伍对XX场景系统2的提交的测试报告中得分排名第1的1个战队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第2~3名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所有测试队伍对XX场景系统2的提交的测试报告中得分排名第2名和第3名的2个战队 </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第4~6名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所有测试队伍对XX场景系统2的提交的测试报告中得分排名第4名、第5名、第6名的3个战队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第7~15名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9</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0.5</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4.5</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所有测试队伍对XX场景系统2的提交的测试报告中得分排名第7名至第15名的9个战队</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第16~40名</w:t>
            </w:r>
            <w:r/>
          </w:p>
        </w:tc>
        <w:tc>
          <w:tcPr>
            <w:tcBorders>
              <w:top w:val="none" w:color="000000" w:sz="4" w:space="0"/>
              <w:left w:val="none" w:color="000000" w:sz="4" w:space="0"/>
              <w:bottom w:val="none" w:color="000000"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25</w:t>
            </w:r>
            <w:r/>
          </w:p>
        </w:tc>
        <w:tc>
          <w:tcPr>
            <w:tcBorders>
              <w:top w:val="none" w:color="000000" w:sz="4" w:space="0"/>
              <w:left w:val="none" w:color="000000" w:sz="4" w:space="0"/>
              <w:bottom w:val="none" w:color="000000"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0.1</w:t>
            </w:r>
            <w:r/>
          </w:p>
        </w:tc>
        <w:tc>
          <w:tcPr>
            <w:tcBorders>
              <w:top w:val="none" w:color="000000" w:sz="4" w:space="0"/>
              <w:left w:val="none" w:color="000000" w:sz="4" w:space="0"/>
              <w:bottom w:val="none" w:color="000000"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2.5</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所有测试队伍对XX场景系统2的提交的测试报告中得分排名第16名至第40名的25个战队</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restart"/>
            <w:textDirection w:val="lrTb"/>
            <w:noWrap w:val="false"/>
          </w:tcPr>
          <w:p>
            <w:pPr>
              <w:jc w:val="center"/>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XX场景系统3</w:t>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第1名</w:t>
            </w:r>
            <w:r/>
          </w:p>
        </w:tc>
        <w:tc>
          <w:tcPr>
            <w:tcBorders>
              <w:top w:val="single" w:color="auto"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single" w:color="auto"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所有测试队伍对XX场景系统3的提交的测试报告得分加上答辩得分总排名第1的1个战队，测试报告中需包含添加扰动后的图像文件，答辩环节需提交参赛代码</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第2~3名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所有测试队伍对XX场景系统3的提交的测试报告得分加上答辩得分总排名第2名和第3名的2个战队，测试报告中需包含添加扰动后的图像文件，答辩环节需提交参赛代码</w:t>
            </w:r>
            <w:r/>
          </w:p>
        </w:tc>
      </w:tr>
      <w:tr>
        <w:trPr>
          <w:trHeight w:val="300"/>
        </w:trPr>
        <w:tc>
          <w:tcPr>
            <w:tcBorders>
              <w:top w:val="none" w:color="000000" w:sz="4" w:space="0"/>
              <w:left w:val="single" w:color="auto" w:sz="4" w:space="0"/>
              <w:bottom w:val="non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第4~6名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所有测试队伍对XX场景系统3的提交的测试报告得分加上答辩得分总排名第4名、第5名、第6名的3个战队，测试报告中需包含添加扰动后的图像文件，答辩环节需提交参赛代码</w:t>
            </w:r>
            <w:r/>
          </w:p>
        </w:tc>
      </w:tr>
      <w:tr>
        <w:trPr>
          <w:trHeight w:val="300"/>
        </w:trPr>
        <w:tc>
          <w:tcPr>
            <w:tcBorders>
              <w:top w:val="single" w:color="auto" w:sz="4" w:space="0"/>
              <w:left w:val="single" w:color="auto" w:sz="4" w:space="0"/>
              <w:bottom w:val="none" w:color="000000" w:sz="4" w:space="0"/>
              <w:right w:val="single" w:color="auto" w:sz="4" w:space="0"/>
            </w:tcBorders>
            <w:tcW w:w="672" w:type="pct"/>
            <w:vAlign w:val="center"/>
            <w:vMerge w:val="restart"/>
            <w:textDirection w:val="lrTb"/>
            <w:noWrap w:val="false"/>
          </w:tcPr>
          <w:p>
            <w:pPr>
              <w:jc w:val="center"/>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XX场景系统4</w:t>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第1名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所测试队伍对XX场景系统4提交的测试报告中得分排名第1的1个战队，测试报告中需包含漏洞描述、漏洞利用方式以及漏洞利用结果截图</w:t>
            </w:r>
            <w:r/>
          </w:p>
        </w:tc>
      </w:tr>
      <w:tr>
        <w:trPr>
          <w:trHeight w:val="300"/>
        </w:trPr>
        <w:tc>
          <w:tcPr>
            <w:tcBorders>
              <w:top w:val="single" w:color="auto" w:sz="4" w:space="0"/>
              <w:left w:val="single" w:color="auto" w:sz="4" w:space="0"/>
              <w:bottom w:val="non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第2~3名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所测试队伍对XX场景系统4提交的测试报告中得分排名第2名和第3名的2个战队，测试报告中需包含漏洞描述、漏洞利用方式以及漏洞利用结果截图</w:t>
            </w:r>
            <w:r/>
          </w:p>
        </w:tc>
      </w:tr>
      <w:tr>
        <w:trPr>
          <w:trHeight w:val="300"/>
        </w:trPr>
        <w:tc>
          <w:tcPr>
            <w:tcBorders>
              <w:top w:val="single" w:color="auto" w:sz="4" w:space="0"/>
              <w:left w:val="single" w:color="auto" w:sz="4" w:space="0"/>
              <w:bottom w:val="non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第4~6名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所测试队伍对XX场景系统4提交的测试报告中得分排名第4名、第5名、第6名的3个战队，测试报告中需包含漏洞描述、漏洞利用方式以及漏洞利用结果截图</w:t>
            </w:r>
            <w:r/>
          </w:p>
        </w:tc>
      </w:tr>
      <w:tr>
        <w:trPr>
          <w:trHeight w:val="300"/>
        </w:trPr>
        <w:tc>
          <w:tcPr>
            <w:tcBorders>
              <w:top w:val="single" w:color="auto" w:sz="4" w:space="0"/>
              <w:left w:val="single" w:color="auto" w:sz="4" w:space="0"/>
              <w:bottom w:val="none" w:color="000000" w:sz="4" w:space="0"/>
              <w:right w:val="single" w:color="auto" w:sz="4" w:space="0"/>
            </w:tcBorders>
            <w:tcW w:w="672" w:type="pct"/>
            <w:vAlign w:val="center"/>
            <w:vMerge w:val="restart"/>
            <w:textDirection w:val="lrTb"/>
            <w:noWrap w:val="false"/>
          </w:tcPr>
          <w:p>
            <w:pPr>
              <w:jc w:val="center"/>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XX场景系统5</w:t>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第1名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所测试队伍对XX场景系统5的提交的测试报告中得分排名第1的1个战队，测试报告中需包含漏洞描述、漏洞利用方式以及漏洞利用结果截图</w:t>
            </w:r>
            <w:r/>
          </w:p>
        </w:tc>
      </w:tr>
      <w:tr>
        <w:trPr>
          <w:trHeight w:val="300"/>
        </w:trPr>
        <w:tc>
          <w:tcPr>
            <w:tcBorders>
              <w:top w:val="single" w:color="auto" w:sz="4" w:space="0"/>
              <w:left w:val="single" w:color="auto" w:sz="4" w:space="0"/>
              <w:bottom w:val="non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第2~3名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所测试队伍对XX场景系统5的提交的测试报告中得分排名第2名和第3名的2个战队，测试报告中需包含漏洞描述、漏洞利用方式以及漏洞利用结果截图</w:t>
            </w:r>
            <w:r/>
          </w:p>
        </w:tc>
      </w:tr>
      <w:tr>
        <w:trPr>
          <w:trHeight w:val="300"/>
        </w:trPr>
        <w:tc>
          <w:tcPr>
            <w:tcBorders>
              <w:top w:val="single" w:color="auto" w:sz="4" w:space="0"/>
              <w:left w:val="single" w:color="auto" w:sz="4" w:space="0"/>
              <w:bottom w:val="non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第4~6名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所测试队伍对XX场景系统5的提交的测试报告中得分排名第4名、第5名、第6名的3个战队，测试报告中需包含漏洞描述、漏洞利用方式以及漏洞利用结果截图</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restart"/>
            <w:textDirection w:val="lrTb"/>
            <w:noWrap w:val="false"/>
          </w:tcPr>
          <w:p>
            <w:pPr>
              <w:jc w:val="center"/>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t xml:space="preserve">XX场景系统6</w:t>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第1名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所有测试队伍对XX场景系统6的提交的测试报告得分加上答辩得分总排名第1的1个战队，测试报告中需包含设计方案、测试流程说明</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第2~3名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所有测试队伍对XX场景系统6的提交的测试报告得分加上答辩得分总排名第2名和第3名的2个战队，测试报告中需包含设计方案、测试流程说明</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第4~6名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所有测试队伍对XX场景系统6的提交的测试报告得分加上答辩得分总排名第4名、第5名、第6名的3个战队，测试报告中需包含设计方案、测试流程说明</w:t>
            </w:r>
            <w:r/>
          </w:p>
        </w:tc>
      </w:tr>
      <w:tr>
        <w:trPr>
          <w:trHeight w:val="300"/>
        </w:trPr>
        <w:tc>
          <w:tcPr>
            <w:tcBorders>
              <w:top w:val="single" w:color="auto" w:sz="4" w:space="0"/>
              <w:left w:val="single" w:color="auto" w:sz="4" w:space="0"/>
              <w:bottom w:val="single" w:color="000000" w:sz="4" w:space="0"/>
              <w:right w:val="single" w:color="auto" w:sz="4" w:space="0"/>
            </w:tcBorders>
            <w:tcW w:w="672" w:type="pct"/>
            <w:vAlign w:val="center"/>
            <w:vMerge w:val="continue"/>
            <w:textDirection w:val="lrTb"/>
            <w:noWrap w:val="false"/>
          </w:tcPr>
          <w:p>
            <w:pPr>
              <w:jc w:val="left"/>
              <w:widowControl/>
              <w:rPr>
                <w:rFonts w:hint="eastAsia" w:ascii="仿宋" w:hAnsi="仿宋" w:eastAsia="仿宋" w:cs="宋体"/>
                <w:b/>
                <w:bCs/>
                <w:color w:val="000000"/>
                <w:sz w:val="24"/>
                <w:szCs w:val="24"/>
              </w:rPr>
            </w:pPr>
            <w:r>
              <w:rPr>
                <w:rFonts w:hint="eastAsia" w:ascii="仿宋" w:hAnsi="仿宋" w:eastAsia="仿宋" w:cs="宋体"/>
                <w:b/>
                <w:bCs/>
                <w:color w:val="000000"/>
                <w:sz w:val="24"/>
                <w:szCs w:val="24"/>
              </w:rPr>
            </w:r>
            <w:r/>
          </w:p>
        </w:tc>
        <w:tc>
          <w:tcPr>
            <w:tcBorders>
              <w:top w:val="none" w:color="000000" w:sz="4" w:space="0"/>
              <w:left w:val="none" w:color="000000" w:sz="4" w:space="0"/>
              <w:bottom w:val="single" w:color="auto" w:sz="4" w:space="0"/>
              <w:right w:val="single" w:color="auto" w:sz="4" w:space="0"/>
            </w:tcBorders>
            <w:tcW w:w="1017"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第7~11名</w:t>
            </w:r>
            <w:r/>
          </w:p>
        </w:tc>
        <w:tc>
          <w:tcPr>
            <w:tcBorders>
              <w:top w:val="none" w:color="000000" w:sz="4" w:space="0"/>
              <w:left w:val="none" w:color="000000" w:sz="4" w:space="0"/>
              <w:bottom w:val="single" w:color="auto" w:sz="4" w:space="0"/>
              <w:right w:val="single" w:color="auto" w:sz="4" w:space="0"/>
            </w:tcBorders>
            <w:tcW w:w="56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808"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0.5</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2.5</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所有测试队伍对XX场景系统6的提交的测试报告得分加上答辩得分总排名第7名至第11名的5个战队，测试报告中需包含设计方案、测试流程说明</w:t>
            </w:r>
            <w:r/>
          </w:p>
        </w:tc>
      </w:tr>
      <w:tr>
        <w:trPr>
          <w:trHeight w:val="300"/>
        </w:trPr>
        <w:tc>
          <w:tcPr>
            <w:gridSpan w:val="4"/>
            <w:tcBorders>
              <w:top w:val="single" w:color="auto" w:sz="4" w:space="0"/>
              <w:left w:val="single" w:color="auto" w:sz="4" w:space="0"/>
              <w:bottom w:val="single" w:color="auto" w:sz="4" w:space="0"/>
              <w:right w:val="single" w:color="auto" w:sz="4" w:space="0"/>
            </w:tcBorders>
            <w:tcW w:w="3062"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t xml:space="preserve">　</w:t>
            </w: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69.5</w:t>
            </w:r>
            <w:r/>
          </w:p>
        </w:tc>
        <w:tc>
          <w:tcPr>
            <w:tcBorders>
              <w:top w:val="single" w:color="auto" w:sz="4" w:space="0"/>
              <w:bottom w:val="single" w:color="auto" w:sz="4" w:space="0"/>
              <w:right w:val="single" w:color="auto" w:sz="4" w:space="0"/>
            </w:tcBorders>
            <w:tcW w:w="1293" w:type="pct"/>
            <w:textDirection w:val="lrTb"/>
            <w:noWrap w:val="false"/>
          </w:tcPr>
          <w:p>
            <w:pPr>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r>
            <w:r/>
          </w:p>
        </w:tc>
      </w:tr>
    </w:tbl>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宋体" w:hAnsi="宋体" w:eastAsia="宋体" w:cs="宋体"/>
          <w:bCs/>
          <w:sz w:val="24"/>
          <w:szCs w:val="24"/>
        </w:rPr>
      </w:pPr>
      <w:r>
        <w:rPr>
          <w:rFonts w:hint="eastAsia" w:ascii="黑体" w:hAnsi="黑体" w:eastAsia="黑体" w:cs="黑体"/>
          <w:sz w:val="24"/>
          <w:szCs w:val="24"/>
        </w:rPr>
        <w:t xml:space="preserve">★</w:t>
      </w:r>
      <w:r>
        <w:rPr>
          <w:rFonts w:hint="eastAsia" w:ascii="宋体" w:hAnsi="宋体" w:eastAsia="宋体" w:cs="宋体"/>
          <w:bCs/>
          <w:sz w:val="24"/>
          <w:szCs w:val="24"/>
        </w:rPr>
        <w:t xml:space="preserve">（二）商务要求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报价要求</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eastAsia="宋体" w:cs="宋体"/>
          <w:bCs/>
          <w:sz w:val="24"/>
          <w:szCs w:val="24"/>
        </w:rPr>
      </w:pPr>
      <w:r>
        <w:rPr>
          <w:rFonts w:hint="eastAsia" w:ascii="宋体" w:hAnsi="宋体" w:eastAsia="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2.实施要求</w:t>
      </w:r>
      <w:r/>
    </w:p>
    <w:p>
      <w:pPr>
        <w:ind w:firstLine="480"/>
        <w:spacing w:line="264" w:lineRule="auto"/>
        <w:rPr>
          <w:rFonts w:hint="eastAsia" w:ascii="宋体" w:hAnsi="宋体" w:eastAsia="宋体" w:cs="宋体"/>
          <w:sz w:val="24"/>
          <w:szCs w:val="24"/>
        </w:rPr>
      </w:pPr>
      <w:r>
        <w:rPr>
          <w:rFonts w:ascii="宋体" w:hAnsi="宋体" w:eastAsia="宋体" w:cs="宋体"/>
          <w:sz w:val="24"/>
          <w:szCs w:val="24"/>
        </w:rPr>
        <w:t xml:space="preserve">（1）总体要求</w:t>
      </w:r>
      <w:r/>
    </w:p>
    <w:p>
      <w:pPr>
        <w:ind w:firstLine="480"/>
        <w:spacing w:line="264" w:lineRule="auto"/>
        <w:rPr>
          <w:rFonts w:hint="eastAsia" w:ascii="宋体" w:hAnsi="宋体" w:eastAsia="宋体" w:cs="Times New Roman"/>
          <w:sz w:val="24"/>
          <w:szCs w:val="24"/>
        </w:rPr>
      </w:pPr>
      <w:r>
        <w:rPr>
          <w:rFonts w:ascii="宋体" w:hAnsi="宋体" w:eastAsia="宋体" w:cs="Times New Roman"/>
          <w:sz w:val="24"/>
          <w:szCs w:val="24"/>
        </w:rPr>
        <w:t xml:space="preserve">供应商应为采购人提供第八届“强网”拟态防御国际精英挑战赛的全流程会务支撑服务，重点涵盖赛事组织、技术保障、选手运营、现场搭建、宣传推广、直播录制及项目管理等关键环节。服务内容需满足高强度、多场景、实战化的赛事需求，确保赛事运行稳定、流程规范、体验专业、成果可视。服务实施应遵循标准化、模块化、可复用的原则，具备高效响应、灵活调整的能力，保障赛事在技术验证、国际交流与品牌影响力方面的多重目标达成</w:t>
      </w:r>
      <w:r>
        <w:rPr>
          <w:rFonts w:hint="eastAsia" w:ascii="宋体" w:hAnsi="宋体" w:eastAsia="宋体" w:cs="Times New Roman"/>
          <w:sz w:val="24"/>
          <w:szCs w:val="24"/>
        </w:rPr>
        <w:t xml:space="preserve">。</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（2）服务要求</w:t>
      </w:r>
      <w:r/>
    </w:p>
    <w:p>
      <w:pPr>
        <w:ind w:firstLine="480"/>
        <w:spacing w:line="264" w:lineRule="auto"/>
        <w:rPr>
          <w:rFonts w:hint="eastAsia" w:ascii="宋体" w:hAnsi="宋体" w:eastAsia="宋体" w:cs="宋体"/>
          <w:bCs/>
          <w:sz w:val="24"/>
          <w:szCs w:val="24"/>
        </w:rPr>
      </w:pPr>
      <w:r>
        <w:rPr>
          <w:rFonts w:hint="eastAsia" w:ascii="宋体" w:hAnsi="宋体" w:eastAsia="宋体" w:cs="Times New Roman"/>
          <w:sz w:val="24"/>
          <w:szCs w:val="24"/>
        </w:rPr>
        <w:t xml:space="preserve">投标人需承诺在项目全生命周期内，为客户提供专业、及时、周到的服务，以全面满足客户的实际需求。</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（3）人员要求</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①项目经理：1人，具有本科及以上学历，至少5年及以上工作经验。</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②市场经理：1人，具有本科及以上学历，至少5年及以上工作经验。</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③项目团队人员：不少于5人，具有本科及以上学历，至少3年及以上工作经验。</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④项目实施期间，未经采购人书面同意，供应商不得擅自更换关键岗位人员（如项目经理、技术负责人）。如确需更换，接替人员资质和能力不得低于原人员，并需经采购人认可。​</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（签订合同时须提供人员毕业证书，工作经验以劳动合同、社保缴纳记录或其他有效证明材料为准。）</w:t>
      </w:r>
      <w:r/>
    </w:p>
    <w:p>
      <w:pPr>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（4）知识产权及保密要求</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①本项目由供应商交付给采购人的产品及其知识产权的所有权归采购人所有，包括但不限于由供应商单独或与采购人共同构思、研发或创造的发明、改进、工序、理念、技术、工作成果、概念、技术秘密、软件程序、计算机语言/编码、编译、文献和其他知识产权。</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②未经采购人书面允许，供应商不得部分或全部地对外披露任何采购人及参赛方提供的资料，包括但不限于各类技术和商业资料、赛道、赛题、赛事组织信息、参赛方个人信息。供应商仅可为合同目的向其确有知悉必要的雇员披露采购人提供的资料，但同时须指示其雇员遵守本条规定的保密及不披露义务。供应商仅得为履行合同之目的对上述资料进行复制，供应商应当妥善保管，并对在供应商期间发生的被盗、泄露或其他有损保密资料保密性的事件承担全部责任，因此造成采购人和参赛方损失的，供应商应赔偿一切损失。本保密条款长期有效。</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付款条件</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合同签订后，甲方支付给乙方测试服务费，乙方收到测试服务费后5个工作日内向参赛选手支付测试服务费；合同签订后甲方支付合同总价扣除测试服务费的30%作为预付款；赛事活动顺利结束后，经甲方验收合格，支付至合同总价扣除测试服务费的80%；经甲方组织审计后，按审计金额支付剩余合同金额</w:t>
      </w:r>
      <w:r>
        <w:rPr>
          <w:rFonts w:ascii="宋体" w:hAnsi="宋体" w:eastAsia="宋体" w:cs="宋体"/>
          <w:sz w:val="24"/>
          <w:szCs w:val="24"/>
        </w:rPr>
        <w:t xml:space="preserve">。</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交付时间及地点</w:t>
      </w:r>
      <w:r/>
    </w:p>
    <w:p>
      <w:pPr>
        <w:ind w:firstLine="480"/>
        <w:spacing w:line="264" w:lineRule="auto"/>
        <w:rPr>
          <w:rFonts w:hint="eastAsia" w:ascii="宋体" w:hAnsi="宋体" w:eastAsia="宋体" w:cs="宋体"/>
          <w:sz w:val="24"/>
          <w:szCs w:val="24"/>
        </w:rPr>
      </w:pPr>
      <w:r>
        <w:rPr>
          <w:rFonts w:ascii="宋体" w:hAnsi="宋体" w:eastAsia="宋体" w:cs="宋体"/>
          <w:sz w:val="24"/>
          <w:szCs w:val="24"/>
        </w:rPr>
        <w:t xml:space="preserve">（1）交付时间：合同签订后</w:t>
      </w:r>
      <w:r>
        <w:rPr>
          <w:rFonts w:hint="eastAsia" w:ascii="宋体" w:hAnsi="宋体" w:eastAsia="宋体" w:cs="Times New Roman"/>
          <w:sz w:val="24"/>
          <w:szCs w:val="24"/>
        </w:rPr>
        <w:t xml:space="preserve">30</w:t>
      </w:r>
      <w:r>
        <w:rPr>
          <w:rFonts w:ascii="宋体" w:hAnsi="宋体" w:eastAsia="宋体" w:cs="宋体"/>
          <w:sz w:val="24"/>
          <w:szCs w:val="24"/>
        </w:rPr>
        <w:t xml:space="preserve">天内</w:t>
      </w:r>
      <w:r>
        <w:rPr>
          <w:rFonts w:hint="eastAsia" w:ascii="宋体" w:hAnsi="宋体" w:eastAsia="宋体" w:cs="宋体"/>
          <w:sz w:val="24"/>
          <w:szCs w:val="24"/>
        </w:rPr>
        <w:t xml:space="preserve">交付</w:t>
      </w:r>
      <w:r>
        <w:rPr>
          <w:rFonts w:ascii="宋体" w:hAnsi="宋体" w:eastAsia="宋体" w:cs="宋体"/>
          <w:sz w:val="24"/>
          <w:szCs w:val="24"/>
        </w:rPr>
        <w:t xml:space="preserve">。</w:t>
      </w:r>
      <w:r/>
    </w:p>
    <w:p>
      <w:pPr>
        <w:ind w:firstLine="480"/>
        <w:spacing w:line="264" w:lineRule="auto"/>
        <w:rPr>
          <w:rFonts w:hint="eastAsia" w:ascii="宋体" w:hAnsi="宋体" w:eastAsia="宋体" w:cs="宋体"/>
          <w:sz w:val="24"/>
          <w:szCs w:val="24"/>
          <w:highlight w:val="yellow"/>
        </w:rPr>
      </w:pPr>
      <w:r>
        <w:rPr>
          <w:rFonts w:ascii="宋体" w:hAnsi="宋体" w:eastAsia="宋体" w:cs="宋体"/>
          <w:sz w:val="24"/>
          <w:szCs w:val="24"/>
        </w:rPr>
        <w:t xml:space="preserve">（2）交付地点：采购人指定地点</w:t>
      </w:r>
      <w:r>
        <w:rPr>
          <w:rFonts w:hint="eastAsia" w:ascii="宋体" w:hAnsi="宋体" w:eastAsia="宋体" w:cs="宋体"/>
          <w:sz w:val="24"/>
          <w:szCs w:val="24"/>
        </w:rPr>
        <w:t xml:space="preserve">。</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5.履约保证金</w:t>
      </w:r>
      <w:r/>
    </w:p>
    <w:p>
      <w:pPr>
        <w:ind w:firstLine="480"/>
        <w:spacing w:line="264" w:lineRule="auto"/>
        <w:rPr>
          <w:rFonts w:hint="eastAsia" w:ascii="微软雅黑" w:hAnsi="微软雅黑" w:eastAsia="微软雅黑" w:cs="微软雅黑"/>
          <w:szCs w:val="21"/>
        </w:rPr>
      </w:pPr>
      <w:r>
        <w:rPr>
          <w:rFonts w:hint="eastAsia" w:ascii="宋体" w:hAnsi="宋体" w:eastAsia="宋体" w:cs="宋体"/>
          <w:sz w:val="24"/>
          <w:szCs w:val="24"/>
        </w:rPr>
        <w:t xml:space="preserve">以第三章合同文本内容为准。</w:t>
      </w:r>
      <w:r>
        <w:rPr>
          <w:rFonts w:hint="eastAsia"/>
          <w:color w:val="000000"/>
          <w:sz w:val="28"/>
          <w:szCs w:val="28"/>
          <w:lang w:bidi="ar"/>
        </w:rPr>
        <w:br w:type="page" w:clear="all"/>
      </w:r>
      <w:r/>
    </w:p>
    <w:p>
      <w:pPr>
        <w:pStyle w:val="917"/>
        <w:numPr>
          <w:ilvl w:val="255"/>
          <w:numId w:val="0"/>
        </w:numPr>
        <w:jc w:val="center"/>
        <w:spacing w:after="120"/>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8"/>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0" w:name="_Toc120614281"/>
      <w:r/>
      <w:bookmarkStart w:id="51" w:name="_Toc26554093"/>
      <w:r/>
      <w:bookmarkStart w:id="52" w:name="_Toc49090575"/>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3"/>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评标标准</w:t>
      </w:r>
      <w:bookmarkEnd w:id="50"/>
      <w:r/>
      <w:bookmarkEnd w:id="51"/>
      <w:r/>
      <w:bookmarkEnd w:id="52"/>
      <w:r/>
      <w:r/>
    </w:p>
    <w:tbl>
      <w:tblPr>
        <w:tblStyle w:val="89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584"/>
        <w:gridCol w:w="5516"/>
        <w:gridCol w:w="1051"/>
      </w:tblGrid>
      <w:tr>
        <w:trPr>
          <w:trHeight w:val="422"/>
        </w:trPr>
        <w:tc>
          <w:tcPr>
            <w:tcW w:w="471"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80"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评分要素</w:t>
            </w:r>
            <w:r/>
          </w:p>
        </w:tc>
        <w:tc>
          <w:tcPr>
            <w:tcW w:w="3065"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W w:w="584"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trHeight w:val="422"/>
        </w:trPr>
        <w:tc>
          <w:tcPr>
            <w:tcW w:w="471"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880"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价格</w:t>
            </w:r>
            <w:r/>
          </w:p>
        </w:tc>
        <w:tc>
          <w:tcPr>
            <w:tcW w:w="3065" w:type="pct"/>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价格分统一采用低价优先法，即满足招标文件要求且最后报价最低的投标人的价格为基准价，其价格分为满分30分。其他投标人的价格分统一按照下列公式计算：</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报价得分＝（基准价/最后报价）×30％×100</w:t>
            </w:r>
            <w:r/>
          </w:p>
        </w:tc>
        <w:tc>
          <w:tcPr>
            <w:tcW w:w="584"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r>
      <w:tr>
        <w:trPr>
          <w:trHeight w:val="1416"/>
        </w:trPr>
        <w:tc>
          <w:tcPr>
            <w:tcW w:w="471"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2.1</w:t>
            </w:r>
            <w:r/>
          </w:p>
        </w:tc>
        <w:tc>
          <w:tcPr>
            <w:tcW w:w="880"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赛事组织方案</w:t>
            </w:r>
            <w:r/>
          </w:p>
        </w:tc>
        <w:tc>
          <w:tcPr>
            <w:tcW w:w="3065" w:type="pct"/>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评委根据供应商提供的赛事组织方案综合评分，至少包括：1.竞赛组织；2.会务宣传。以上每项内容逐条阐述。</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（1）上述每项内容完整清晰、可行性强、紧贴采购需求的，得8分；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（2）上述每项内容较完整清晰、可行性较强、符合采购需求的，得5分；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（3）上述每项内容基本完整、具有一定可行性、基本符合采购需求的，得3分；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（4）上述每项内容不合理可行或未提供方案的，不得分。</w:t>
            </w:r>
            <w:r/>
          </w:p>
        </w:tc>
        <w:tc>
          <w:tcPr>
            <w:tcW w:w="584"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16</w:t>
            </w:r>
            <w:r/>
          </w:p>
        </w:tc>
      </w:tr>
      <w:tr>
        <w:trPr>
          <w:trHeight w:val="1084"/>
        </w:trPr>
        <w:tc>
          <w:tcPr>
            <w:tcW w:w="471"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2.2</w:t>
            </w:r>
            <w:r/>
          </w:p>
        </w:tc>
        <w:tc>
          <w:tcPr>
            <w:tcW w:w="880"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赛事运维方案</w:t>
            </w:r>
            <w:r/>
          </w:p>
        </w:tc>
        <w:tc>
          <w:tcPr>
            <w:tcW w:w="3065" w:type="pct"/>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评委根据供应商提供的赛事运维方案综合评分，包括：1.平台保障方案；2.应急处置能力。以上每项内容逐条阐述。</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（1）上述每项内容完整清晰、可行性强、紧贴采购需求的，得8分；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（2）上述每项内容较完整清晰、可行性较强、符合采购需求的，得5分；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（3）上述每项内容基本完整、具有一定可行性、基本符合采购需求的，得3分；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（4）上述每项内容不合理可行或未提供方案的，不得分。</w:t>
            </w:r>
            <w:r/>
          </w:p>
        </w:tc>
        <w:tc>
          <w:tcPr>
            <w:tcW w:w="584"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16</w:t>
            </w:r>
            <w:r/>
          </w:p>
        </w:tc>
      </w:tr>
      <w:tr>
        <w:trPr>
          <w:trHeight w:val="422"/>
        </w:trPr>
        <w:tc>
          <w:tcPr>
            <w:tcW w:w="471"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2.3</w:t>
            </w:r>
            <w:r/>
          </w:p>
        </w:tc>
        <w:tc>
          <w:tcPr>
            <w:tcW w:w="880"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项目管理方案</w:t>
            </w:r>
            <w:r/>
          </w:p>
        </w:tc>
        <w:tc>
          <w:tcPr>
            <w:tcW w:w="3065" w:type="pct"/>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评委根据供应商提供的项目项目管理方案综合评分，包括：1.项目组织管理；2.质量保证措施。以上每项内容逐条阐述。</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（1）上述每项内容完整清晰、可行性强、紧贴采购需求的，得8分；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（2）上述每项内容较完整清晰、可行性较强、符合采购需求的，得5分；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（3）上述每项内容基本完整、具有一定可行性、基本符合采购需求的，得3分；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（4）上述每项内容不合理可行或未提供方案的，不得分。</w:t>
            </w:r>
            <w:r/>
          </w:p>
        </w:tc>
        <w:tc>
          <w:tcPr>
            <w:tcW w:w="584"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16</w:t>
            </w:r>
            <w:r/>
          </w:p>
        </w:tc>
      </w:tr>
      <w:tr>
        <w:trPr>
          <w:trHeight w:val="550"/>
        </w:trPr>
        <w:tc>
          <w:tcPr>
            <w:tcW w:w="471"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880"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投标人业绩</w:t>
            </w:r>
            <w:r/>
          </w:p>
        </w:tc>
        <w:tc>
          <w:tcPr>
            <w:tcW w:w="3065" w:type="pct"/>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投标人提供2022年1月1日（含）以来，承接过拟态类攻防赛事服务支撑等相关项目的业绩，每提供1个得3分，最多得9分。（时间以合同签订时间为准，提供有效合同，合同页须清晰可见相应内容)</w:t>
            </w:r>
            <w:r/>
          </w:p>
        </w:tc>
        <w:tc>
          <w:tcPr>
            <w:tcW w:w="584"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9</w:t>
            </w:r>
            <w:r/>
          </w:p>
        </w:tc>
      </w:tr>
      <w:tr>
        <w:trPr>
          <w:trHeight w:val="1820"/>
        </w:trPr>
        <w:tc>
          <w:tcPr>
            <w:tcW w:w="471"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4.1</w:t>
            </w:r>
            <w:r/>
          </w:p>
        </w:tc>
        <w:tc>
          <w:tcPr>
            <w:tcW w:w="880"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履约能力1</w:t>
            </w:r>
            <w:r/>
          </w:p>
        </w:tc>
        <w:tc>
          <w:tcPr>
            <w:tcW w:w="3065" w:type="pct"/>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（1）项目经理能力：</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①具有人社局颁发的网络安全中级及以上职称、信息安全保障人员认证证书（CISAW）、信息安全工程师（中级）证书，全部满足得3分，否则不得分。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②具有信息系统项目管理师（高级）证书，得2分。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（2）技术负责人能力：</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具有注册信息安全工程师（CISP）证书、信息安全保障人员认证证书（CISAW）证书，全部满足得2分，否则不得分。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（提供上述人员证书，投标人为其缴纳的2025年1月以来任意一个月的社保证明材料，缺一不可）</w:t>
            </w:r>
            <w:r/>
          </w:p>
        </w:tc>
        <w:tc>
          <w:tcPr>
            <w:tcW w:w="584"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7</w:t>
            </w:r>
            <w:r/>
          </w:p>
        </w:tc>
      </w:tr>
      <w:tr>
        <w:trPr>
          <w:trHeight w:val="843"/>
        </w:trPr>
        <w:tc>
          <w:tcPr>
            <w:tcW w:w="471"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4.2</w:t>
            </w:r>
            <w:r/>
          </w:p>
        </w:tc>
        <w:tc>
          <w:tcPr>
            <w:tcW w:w="880"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履约能力2</w:t>
            </w:r>
            <w:r/>
          </w:p>
        </w:tc>
        <w:tc>
          <w:tcPr>
            <w:tcW w:w="3065" w:type="pct"/>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项目实施团队能力（不含项目经理和技术负责人）：</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①团队成员具有信息安全保障人员（CISAW）证书，每提供1人得0.5分，最高得3分。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（提供团队成员证书，投标人为其缴纳的2025年1月以来任意一个月的社保证明材料，缺一不可）</w:t>
            </w:r>
            <w:r/>
          </w:p>
        </w:tc>
        <w:tc>
          <w:tcPr>
            <w:tcW w:w="584"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843"/>
        </w:trPr>
        <w:tc>
          <w:tcPr>
            <w:tcW w:w="471"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4.3</w:t>
            </w:r>
            <w:r/>
          </w:p>
        </w:tc>
        <w:tc>
          <w:tcPr>
            <w:tcW w:w="880"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履约能力3</w:t>
            </w:r>
            <w:r/>
          </w:p>
        </w:tc>
        <w:tc>
          <w:tcPr>
            <w:tcW w:w="3065" w:type="pct"/>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命题团队成员需为担任过全国性及以上网络安全竞赛裁判、技术专家或命题专家的人员（有效证明资料为聘书、或荣誉证书、或执裁证书、或邀请函，有效证明材料须有第三方印章），每提供1个得0.5分，最多得3分。</w:t>
            </w:r>
            <w:r/>
          </w:p>
        </w:tc>
        <w:tc>
          <w:tcPr>
            <w:tcW w:w="584"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r>
      <w:tr>
        <w:trPr>
          <w:trHeight w:val="390"/>
        </w:trPr>
        <w:tc>
          <w:tcPr>
            <w:gridSpan w:val="3"/>
            <w:tcW w:w="4416"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总分</w:t>
            </w:r>
            <w:r/>
          </w:p>
        </w:tc>
        <w:tc>
          <w:tcPr>
            <w:tcW w:w="584" w:type="pct"/>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r>
    </w:tbl>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 </w:t>
      </w: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ascii="Times New Roman" w:hAnsi="Times New Roman" w:eastAsia="宋体" w:cs="Times New Roman"/>
          <w:color w:val="000000" w:themeColor="text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jc w:val="left"/>
        <w:widowControl/>
        <w:rPr>
          <w:rFonts w:hint="eastAsia" w:ascii="黑体" w:hAnsi="黑体" w:eastAsia="黑体" w:cs="黑体"/>
          <w:color w:val="000000" w:themeColor="text1"/>
          <w:sz w:val="36"/>
          <w:szCs w:val="36"/>
          <w:lang w:val="zh-TW"/>
          <w14:textFill>
            <w14:solidFill>
              <w14:schemeClr w14:val="tx1"/>
            </w14:solidFill>
          </w14:textFill>
        </w:rPr>
      </w:pPr>
      <w:r/>
      <w:bookmarkStart w:id="53"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jc w:val="center"/>
        <w:widowControl/>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3"/>
      <w:r/>
      <w:r/>
    </w:p>
    <w:p>
      <w:pPr>
        <w:pStyle w:val="941"/>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41"/>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941"/>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941"/>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941"/>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紫金山实验室第八届“强网”拟态防御国际精英挑战赛会务支撑服务项目</w:t>
      </w:r>
      <w:r/>
    </w:p>
    <w:p>
      <w:pPr>
        <w:pStyle w:val="941"/>
        <w:ind w:firstLine="1440"/>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项目编号：PML-ZH-ZB-</w:t>
      </w:r>
      <w:r>
        <w:rPr>
          <w:rFonts w:hint="eastAsia" w:ascii="Times New Roman" w:hAnsi="Times New Roman" w:eastAsia="黑体" w:cs="Times New Roman"/>
          <w:color w:val="000000" w:themeColor="text1"/>
          <w:sz w:val="36"/>
          <w:szCs w:val="36"/>
          <w14:textFill>
            <w14:solidFill>
              <w14:schemeClr w14:val="tx1"/>
            </w14:solidFill>
          </w14:textFill>
        </w:rPr>
        <w:t xml:space="preserve">2025015</w:t>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jc w:val="center"/>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jc w:val="center"/>
        <w:spacing w:line="360" w:lineRule="auto"/>
        <w:rPr>
          <w:rFonts w:hint="eastAsia"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jc w:val="cente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r>
      <w:r/>
    </w:p>
    <w:p>
      <w:pPr>
        <w:jc w:val="cente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897"/>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hint="eastAsia"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spacing w:line="360" w:lineRule="auto"/>
        <w:rPr>
          <w:rFonts w:hint="eastAsia" w:ascii="宋体" w:hAnsi="宋体" w:eastAsia="宋体" w:cs="Arial Unicode MS"/>
          <w:color w:val="000000" w:themeColor="text1"/>
          <w:sz w:val="28"/>
          <w:szCs w:val="28"/>
          <w14:textFill>
            <w14:solidFill>
              <w14:schemeClr w14:val="tx1"/>
            </w14:solidFill>
          </w14:textFill>
        </w:rPr>
      </w:pPr>
      <w:r>
        <w:rPr>
          <w:rFonts w:hint="eastAsia"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4" w:name="_Toc448069988"/>
      <w:r/>
      <w:bookmarkStart w:id="55" w:name="_Toc415494574"/>
      <w:r/>
      <w:bookmarkStart w:id="56" w:name="_Toc50"/>
      <w:r/>
      <w:bookmarkStart w:id="57"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4"/>
      <w:r/>
      <w:bookmarkEnd w:id="55"/>
      <w:r/>
      <w:bookmarkEnd w:id="56"/>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57"/>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941"/>
        <w:ind w:firstLine="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941"/>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紫金山实验室第八届“强网”拟态防御国际精英挑战赛会务支撑服务项目（</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PML-ZH-ZB-</w:t>
      </w:r>
      <w:r>
        <w:rPr>
          <w:rFonts w:hint="eastAsia" w:ascii="Times New Roman" w:hAnsi="Times New Roman" w:cs="Times New Roman"/>
          <w:color w:val="000000" w:themeColor="text1"/>
          <w:szCs w:val="21"/>
          <w:u w:val="single"/>
          <w14:textFill>
            <w14:solidFill>
              <w14:schemeClr w14:val="tx1"/>
            </w14:solidFill>
          </w14:textFill>
        </w:rPr>
        <w:t xml:space="preserve">2025015）</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941"/>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941"/>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941"/>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941"/>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941"/>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41"/>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41"/>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941"/>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941"/>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941"/>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941"/>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941"/>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941"/>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941"/>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941"/>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941"/>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941"/>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941"/>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8" w:name="_Toc415494579"/>
      <w:r/>
      <w:bookmarkStart w:id="59" w:name="_Toc448069992"/>
      <w:r/>
      <w:bookmarkStart w:id="60" w:name="_Toc11859492"/>
      <w:r/>
      <w:bookmarkStart w:id="61" w:name="_Toc452541709"/>
      <w:r/>
      <w:bookmarkStart w:id="62" w:name="_Toc448069989"/>
      <w:r/>
      <w:bookmarkStart w:id="63" w:name="_Toc51"/>
      <w:r/>
      <w:bookmarkStart w:id="64" w:name="_Toc415494575"/>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58"/>
      <w:r/>
      <w:bookmarkEnd w:id="59"/>
      <w:r/>
      <w:bookmarkEnd w:id="60"/>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default" w:ascii="Times New Roman" w:hAnsi="Times New Roman" w:cs="Times New Roman" w:eastAsiaTheme="minorEastAsia"/>
          <w:color w:val="000000" w:themeColor="text1"/>
          <w:sz w:val="24"/>
          <w:szCs w:val="24"/>
          <w14:textFill>
            <w14:solidFill>
              <w14:schemeClr w14:val="tx1"/>
            </w14:solidFill>
          </w14:textFill>
        </w:rPr>
        <w:t xml:space="preserve">紫金山实验室第八届“强网”拟态防御国际精英挑战赛会务支撑服务项目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项目编号：PML-ZH-ZB-</w:t>
      </w:r>
      <w:r>
        <w:rPr>
          <w:rFonts w:hint="eastAsia" w:ascii="Times New Roman" w:hAnsi="Times New Roman" w:cs="Times New Roman"/>
          <w:color w:val="000000" w:themeColor="text1"/>
          <w:sz w:val="24"/>
          <w:szCs w:val="24"/>
          <w14:textFill>
            <w14:solidFill>
              <w14:schemeClr w14:val="tx1"/>
            </w14:solidFill>
          </w14:textFill>
        </w:rPr>
        <w:t xml:space="preserve">2025015</w:t>
      </w:r>
      <w:r/>
    </w:p>
    <w:tbl>
      <w:tblPr>
        <w:tblStyle w:val="897"/>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6"/>
        <w:gridCol w:w="6327"/>
      </w:tblGrid>
      <w:tr>
        <w:trPr>
          <w:cantSplit/>
          <w:jc w:val="center"/>
          <w:trHeight w:val="1127"/>
        </w:trPr>
        <w:tc>
          <w:tcPr>
            <w:tcW w:w="1394" w:type="pct"/>
            <w:vAlign w:val="center"/>
            <w:textDirection w:val="lrTb"/>
            <w:noWrap w:val="false"/>
          </w:tcPr>
          <w:p>
            <w:pPr>
              <w:pStyle w:val="904"/>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904"/>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904"/>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941"/>
              <w:ind w:firstLine="0"/>
              <w:spacing w:before="0" w:after="0"/>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361"/>
        </w:trPr>
        <w:tc>
          <w:tcPr>
            <w:tcW w:w="1394" w:type="pct"/>
            <w:vAlign w:val="center"/>
            <w:textDirection w:val="lrTb"/>
            <w:noWrap w:val="false"/>
          </w:tcPr>
          <w:p>
            <w:pPr>
              <w:pStyle w:val="904"/>
              <w:jc w:val="center"/>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904"/>
              <w:spacing w:after="0"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righ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pStyle w:val="920"/>
        <w:ind w:firstLine="48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pStyle w:val="920"/>
        <w:ind w:firstLine="480"/>
        <w:rPr>
          <w:rFonts w:ascii="Times New Roman" w:hAnsi="Times New Roman" w:cs="Times New Roman"/>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left"/>
        <w:spacing w:line="36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p>
    <w:p>
      <w:pPr>
        <w:jc w:val="center"/>
        <w:spacing w:line="360" w:lineRule="auto"/>
        <w:rPr>
          <w:rFonts w:hint="eastAsia" w:ascii="黑体" w:hAnsi="黑体" w:eastAsia="黑体" w:cs="Times New Roman"/>
          <w:color w:val="000000" w:themeColor="text1"/>
          <w:sz w:val="28"/>
          <w:szCs w:val="28"/>
          <w:lang w:eastAsia="zh-CN"/>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lang w:eastAsia="zh-CN"/>
          <w14:textFill>
            <w14:solidFill>
              <w14:schemeClr w14:val="tx1"/>
            </w14:solidFill>
          </w14:textFill>
        </w:rPr>
        <w:t xml:space="preserve">（</w:t>
      </w:r>
      <w:r>
        <w:rPr>
          <w:rFonts w:hint="eastAsia" w:ascii="黑体" w:hAnsi="黑体" w:eastAsia="黑体" w:cs="Times New Roman"/>
          <w:color w:val="000000" w:themeColor="text1"/>
          <w:sz w:val="28"/>
          <w:szCs w:val="28"/>
          <w:lang w:val="en-US" w:eastAsia="zh-CN"/>
          <w14:textFill>
            <w14:solidFill>
              <w14:schemeClr w14:val="tx1"/>
            </w14:solidFill>
          </w14:textFill>
        </w:rPr>
        <w:t xml:space="preserve">如有，格式自拟</w:t>
      </w:r>
      <w:r>
        <w:rPr>
          <w:rFonts w:hint="eastAsia" w:ascii="黑体" w:hAnsi="黑体" w:eastAsia="黑体" w:cs="Times New Roman"/>
          <w:color w:val="000000" w:themeColor="text1"/>
          <w:sz w:val="28"/>
          <w:szCs w:val="28"/>
          <w:lang w:eastAsia="zh-CN"/>
          <w14:textFill>
            <w14:solidFill>
              <w14:schemeClr w14:val="tx1"/>
            </w14:solidFill>
          </w14:textFill>
        </w:rPr>
        <w:t xml:space="preserve">）</w:t>
      </w:r>
      <w:r/>
    </w:p>
    <w:p>
      <w:pPr>
        <w:ind w:firstLine="420"/>
        <w:spacing w:line="440" w:lineRule="exac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5" w:name="_Toc11859493"/>
      <w:r/>
      <w:bookmarkStart w:id="66" w:name="_Toc415494580"/>
      <w:r/>
      <w:bookmarkStart w:id="67" w:name="_Toc55"/>
      <w:r/>
      <w:bookmarkStart w:id="68" w:name="_Toc448069993"/>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5"/>
      <w:r/>
      <w:bookmarkEnd w:id="66"/>
      <w:r/>
      <w:bookmarkEnd w:id="67"/>
      <w:r/>
      <w:bookmarkEnd w:id="68"/>
      <w:r/>
      <w:r/>
    </w:p>
    <w:p>
      <w:pPr>
        <w:jc w:val="center"/>
        <w:spacing w:line="360" w:lineRule="auto"/>
        <w:rPr>
          <w:rFonts w:hint="eastAsia"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spacing w:line="360" w:lineRule="auto"/>
        <w:rPr>
          <w:rFonts w:hint="eastAsia" w:ascii="宋体" w:hAnsi="宋体" w:eastAsia="宋体" w:cs="宋体"/>
          <w:b/>
          <w:bCs/>
          <w:color w:val="000000" w:themeColor="text1"/>
          <w:szCs w:val="21"/>
          <w:u w:val="single"/>
          <w:lang w:val="zh-TW"/>
          <w14:textFill>
            <w14:solidFill>
              <w14:schemeClr w14:val="tx1"/>
            </w14:solidFill>
          </w14:textFill>
        </w:rPr>
      </w:pPr>
      <w:r>
        <w:rPr>
          <w:rFonts w:hint="eastAsia"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hint="eastAsia" w:ascii="宋体" w:hAnsi="宋体" w:eastAsia="PMingLiU" w:cs="宋体"/>
          <w:color w:val="000000" w:themeColor="text1"/>
          <w:szCs w:val="21"/>
          <w:lang w:val="zh-TW"/>
          <w14:textFill>
            <w14:solidFill>
              <w14:schemeClr w14:val="tx1"/>
            </w14:solidFill>
          </w14:textFill>
        </w:rPr>
      </w:pPr>
      <w:r>
        <w:rPr>
          <w:rFonts w:hint="eastAsia" w:ascii="宋体" w:hAnsi="宋体" w:eastAsia="PMingLiU" w:cs="宋体"/>
          <w:color w:val="000000" w:themeColor="text1"/>
          <w:szCs w:val="21"/>
          <w:lang w:val="zh-TW"/>
          <w14:textFill>
            <w14:solidFill>
              <w14:schemeClr w14:val="tx1"/>
            </w14:solidFill>
          </w14:textFill>
        </w:rPr>
      </w:r>
      <w:r/>
    </w:p>
    <w:p>
      <w:pPr>
        <w:ind w:right="420"/>
        <w:spacing w:line="360" w:lineRule="auto"/>
        <w:rPr>
          <w:rFonts w:hint="eastAsia"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hint="eastAsia"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897"/>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897"/>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9" w:name="_Toc448069994"/>
      <w:r/>
      <w:bookmarkStart w:id="70" w:name="_Toc11859494"/>
      <w:r/>
      <w:bookmarkStart w:id="71" w:name="_Toc56"/>
      <w:r/>
      <w:bookmarkStart w:id="72" w:name="_Toc415494581"/>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69"/>
      <w:r/>
      <w:bookmarkEnd w:id="70"/>
      <w:r/>
      <w:bookmarkEnd w:id="71"/>
      <w:r/>
      <w:bookmarkEnd w:id="72"/>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联合体投标声明</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3"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3"/>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97"/>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943"/>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943"/>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43"/>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943"/>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943"/>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943"/>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943"/>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943"/>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4"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4"/>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897"/>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943"/>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943"/>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5"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5"/>
      <w:r/>
      <w:bookmarkStart w:id="76"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76"/>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920"/>
        <w:numPr>
          <w:ilvl w:val="255"/>
          <w:numId w:val="0"/>
        </w:numPr>
        <w:ind w:firstLine="48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服务保障方案</w:t>
      </w:r>
      <w:r/>
    </w:p>
    <w:p>
      <w:pPr>
        <w:pStyle w:val="920"/>
        <w:numPr>
          <w:ilvl w:val="255"/>
          <w:numId w:val="0"/>
        </w:numP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7"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77"/>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904"/>
        <w:ind w:right="103" w:firstLine="40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904"/>
        <w:ind w:right="103" w:firstLine="40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ind w:right="14"/>
        <w:jc w:val="center"/>
        <w:spacing w:beforeAutospacing="1" w:after="120" w:line="460" w:lineRule="exact"/>
        <w:rPr>
          <w:rFonts w:hint="eastAsia" w:ascii="黑体" w:hAnsi="宋体" w:eastAsia="黑体" w:cs="黑体"/>
          <w:bCs/>
          <w:sz w:val="28"/>
          <w:szCs w:val="28"/>
        </w:rPr>
      </w:pPr>
      <w:r/>
      <w:bookmarkStart w:id="78" w:name="_Toc21478"/>
      <w:r>
        <w:rPr>
          <w:rFonts w:hint="eastAsia" w:ascii="黑体" w:hAnsi="宋体" w:eastAsia="黑体" w:cs="黑体"/>
          <w:bCs/>
          <w:sz w:val="28"/>
          <w:szCs w:val="28"/>
          <w:lang w:bidi="ar"/>
        </w:rPr>
        <w:t xml:space="preserve">中小企业声明函（工程、服务）</w:t>
      </w:r>
      <w:r/>
    </w:p>
    <w:p>
      <w:pPr>
        <w:ind w:right="208" w:firstLine="396"/>
        <w:spacing w:beforeAutospacing="1" w:after="120" w:line="360" w:lineRule="auto"/>
        <w:rPr>
          <w:spacing w:val="-5"/>
          <w:sz w:val="24"/>
          <w:szCs w:val="24"/>
        </w:rPr>
      </w:pPr>
      <w:r>
        <w:rPr>
          <w:rFonts w:hint="eastAsia" w:ascii="宋体" w:hAnsi="宋体" w:eastAsia="宋体" w:cs="宋体"/>
          <w:spacing w:val="-5"/>
          <w:sz w:val="24"/>
          <w:szCs w:val="24"/>
          <w:lang w:bidi="ar"/>
        </w:rPr>
        <w:t xml:space="preserve">本公司（联合体）郑重声明，根据《政府采购促进中小企业发展管理办法》（财库﹝</w:t>
      </w:r>
      <w:r>
        <w:rPr>
          <w:rFonts w:ascii="Times New Roman" w:hAnsi="Times New Roman" w:eastAsia="宋体" w:cs="Times New Roman"/>
          <w:spacing w:val="-5"/>
          <w:sz w:val="24"/>
          <w:szCs w:val="24"/>
          <w:lang w:bidi="ar"/>
        </w:rPr>
        <w:t xml:space="preserve">2020</w:t>
      </w:r>
      <w:r>
        <w:rPr>
          <w:rFonts w:hint="eastAsia" w:ascii="宋体" w:hAnsi="宋体" w:eastAsia="宋体" w:cs="宋体"/>
          <w:spacing w:val="-5"/>
          <w:sz w:val="24"/>
          <w:szCs w:val="24"/>
          <w:lang w:bidi="ar"/>
        </w:rPr>
        <w:t xml:space="preserve">﹞</w:t>
      </w:r>
      <w:r>
        <w:rPr>
          <w:rFonts w:ascii="Times New Roman" w:hAnsi="Times New Roman" w:eastAsia="宋体" w:cs="Times New Roman"/>
          <w:spacing w:val="-5"/>
          <w:sz w:val="24"/>
          <w:szCs w:val="24"/>
          <w:lang w:bidi="ar"/>
        </w:rPr>
        <w:t xml:space="preserve">46 </w:t>
      </w:r>
      <w:r>
        <w:rPr>
          <w:rFonts w:hint="eastAsia" w:ascii="宋体" w:hAnsi="宋体" w:eastAsia="宋体" w:cs="宋体"/>
          <w:spacing w:val="-5"/>
          <w:sz w:val="24"/>
          <w:szCs w:val="24"/>
          <w:lang w:bidi="ar"/>
        </w:rPr>
        <w:t xml:space="preserve">号）的规定，本公司（联合体）参加</w:t>
      </w:r>
      <w:r>
        <w:rPr>
          <w:rFonts w:hint="eastAsia" w:ascii="宋体" w:hAnsi="宋体" w:eastAsia="宋体" w:cs="宋体"/>
          <w:spacing w:val="-5"/>
          <w:sz w:val="24"/>
          <w:szCs w:val="24"/>
          <w:u w:val="single"/>
          <w:lang w:bidi="ar"/>
        </w:rPr>
        <w:t xml:space="preserve">（单位名称）</w:t>
      </w:r>
      <w:r>
        <w:rPr>
          <w:rFonts w:hint="eastAsia" w:ascii="宋体" w:hAnsi="宋体" w:eastAsia="宋体" w:cs="宋体"/>
          <w:spacing w:val="-5"/>
          <w:sz w:val="24"/>
          <w:szCs w:val="24"/>
          <w:lang w:bidi="ar"/>
        </w:rPr>
        <w:t xml:space="preserve">的</w:t>
      </w:r>
      <w:r>
        <w:rPr>
          <w:rFonts w:hint="eastAsia" w:ascii="宋体" w:hAnsi="宋体" w:eastAsia="宋体" w:cs="宋体"/>
          <w:spacing w:val="-5"/>
          <w:sz w:val="24"/>
          <w:szCs w:val="24"/>
          <w:u w:val="single"/>
          <w:lang w:bidi="ar"/>
        </w:rPr>
        <w:t xml:space="preserve">（项目名称）</w:t>
      </w:r>
      <w:r>
        <w:rPr>
          <w:rFonts w:hint="eastAsia" w:ascii="宋体" w:hAnsi="宋体" w:eastAsia="宋体" w:cs="宋体"/>
          <w:spacing w:val="-5"/>
          <w:sz w:val="24"/>
          <w:szCs w:val="24"/>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08" w:firstLine="396"/>
        <w:spacing w:beforeAutospacing="1" w:after="120" w:line="360" w:lineRule="auto"/>
        <w:rPr>
          <w:spacing w:val="-5"/>
          <w:sz w:val="24"/>
          <w:szCs w:val="24"/>
        </w:rPr>
      </w:pPr>
      <w:r>
        <w:rPr>
          <w:rFonts w:ascii="Times New Roman" w:hAnsi="Times New Roman" w:eastAsia="宋体" w:cs="Times New Roman"/>
          <w:spacing w:val="-5"/>
          <w:sz w:val="24"/>
          <w:szCs w:val="24"/>
          <w:lang w:bidi="ar"/>
        </w:rPr>
        <w:t xml:space="preserve">1.</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u w:val="single"/>
          <w:lang w:bidi="ar"/>
        </w:rPr>
        <w:t xml:space="preserve">（标的名称）</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，属于</w:t>
      </w:r>
      <w:r>
        <w:rPr>
          <w:rFonts w:hint="eastAsia" w:ascii="宋体" w:hAnsi="宋体" w:eastAsia="宋体" w:cs="宋体"/>
          <w:spacing w:val="-5"/>
          <w:sz w:val="24"/>
          <w:szCs w:val="24"/>
          <w:u w:val="single"/>
          <w:lang w:bidi="ar"/>
        </w:rPr>
        <w:t xml:space="preserve">（采购文件中明确的所属行业）</w:t>
      </w:r>
      <w:r>
        <w:rPr>
          <w:rFonts w:hint="eastAsia" w:ascii="宋体" w:hAnsi="宋体" w:eastAsia="宋体" w:cs="宋体"/>
          <w:spacing w:val="-5"/>
          <w:sz w:val="24"/>
          <w:szCs w:val="24"/>
          <w:lang w:bidi="ar"/>
        </w:rPr>
        <w:t xml:space="preserve">；承建（承接）企业为</w:t>
      </w:r>
      <w:r>
        <w:rPr>
          <w:rFonts w:hint="eastAsia" w:ascii="宋体" w:hAnsi="宋体" w:eastAsia="宋体" w:cs="宋体"/>
          <w:spacing w:val="-5"/>
          <w:sz w:val="24"/>
          <w:szCs w:val="24"/>
          <w:u w:val="single"/>
          <w:lang w:bidi="ar"/>
        </w:rPr>
        <w:t xml:space="preserve">（企业名称）</w:t>
      </w:r>
      <w:r>
        <w:rPr>
          <w:rFonts w:hint="eastAsia" w:ascii="宋体" w:hAnsi="宋体" w:eastAsia="宋体" w:cs="宋体"/>
          <w:spacing w:val="-5"/>
          <w:sz w:val="24"/>
          <w:szCs w:val="24"/>
          <w:lang w:bidi="ar"/>
        </w:rPr>
        <w:t xml:space="preserve">，从业人员</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人，营业收入为</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万元，资产总额为</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万元，属于</w:t>
      </w:r>
      <w:r>
        <w:rPr>
          <w:rFonts w:hint="eastAsia" w:ascii="宋体" w:hAnsi="宋体" w:eastAsia="宋体" w:cs="宋体"/>
          <w:spacing w:val="-5"/>
          <w:sz w:val="24"/>
          <w:szCs w:val="24"/>
          <w:u w:val="single"/>
          <w:lang w:bidi="ar"/>
        </w:rPr>
        <w:t xml:space="preserve">（中型企业、小型企业、微型企业）</w:t>
      </w:r>
      <w:r>
        <w:rPr>
          <w:rFonts w:hint="eastAsia" w:ascii="宋体" w:hAnsi="宋体" w:eastAsia="宋体" w:cs="宋体"/>
          <w:spacing w:val="-5"/>
          <w:sz w:val="24"/>
          <w:szCs w:val="24"/>
          <w:lang w:bidi="ar"/>
        </w:rPr>
        <w:t xml:space="preserve">；</w:t>
      </w:r>
      <w:r/>
    </w:p>
    <w:p>
      <w:pPr>
        <w:ind w:right="208" w:firstLine="396"/>
        <w:spacing w:beforeAutospacing="1" w:after="120" w:line="360" w:lineRule="auto"/>
        <w:rPr>
          <w:spacing w:val="-5"/>
          <w:sz w:val="24"/>
          <w:szCs w:val="24"/>
        </w:rPr>
      </w:pPr>
      <w:r>
        <w:rPr>
          <w:rFonts w:ascii="Times New Roman" w:hAnsi="Times New Roman" w:eastAsia="宋体" w:cs="Times New Roman"/>
          <w:spacing w:val="-5"/>
          <w:sz w:val="24"/>
          <w:szCs w:val="24"/>
          <w:lang w:bidi="ar"/>
        </w:rPr>
        <w:t xml:space="preserve">2.</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u w:val="single"/>
          <w:lang w:bidi="ar"/>
        </w:rPr>
        <w:t xml:space="preserve">（标的名称）</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，属于</w:t>
      </w:r>
      <w:r>
        <w:rPr>
          <w:rFonts w:hint="eastAsia" w:ascii="宋体" w:hAnsi="宋体" w:eastAsia="宋体" w:cs="宋体"/>
          <w:spacing w:val="-5"/>
          <w:sz w:val="24"/>
          <w:szCs w:val="24"/>
          <w:u w:val="single"/>
          <w:lang w:bidi="ar"/>
        </w:rPr>
        <w:t xml:space="preserve">（采购文件中明确的所属行业）</w:t>
      </w:r>
      <w:r>
        <w:rPr>
          <w:rFonts w:hint="eastAsia" w:ascii="宋体" w:hAnsi="宋体" w:eastAsia="宋体" w:cs="宋体"/>
          <w:spacing w:val="-5"/>
          <w:sz w:val="24"/>
          <w:szCs w:val="24"/>
          <w:lang w:bidi="ar"/>
        </w:rPr>
        <w:t xml:space="preserve">；承建（承接）企业为</w:t>
      </w:r>
      <w:r>
        <w:rPr>
          <w:rFonts w:hint="eastAsia" w:ascii="宋体" w:hAnsi="宋体" w:eastAsia="宋体" w:cs="宋体"/>
          <w:spacing w:val="-5"/>
          <w:sz w:val="24"/>
          <w:szCs w:val="24"/>
          <w:u w:val="single"/>
          <w:lang w:bidi="ar"/>
        </w:rPr>
        <w:t xml:space="preserve">（企业名称）</w:t>
      </w:r>
      <w:r>
        <w:rPr>
          <w:rFonts w:hint="eastAsia" w:ascii="宋体" w:hAnsi="宋体" w:eastAsia="宋体" w:cs="宋体"/>
          <w:spacing w:val="-5"/>
          <w:sz w:val="24"/>
          <w:szCs w:val="24"/>
          <w:lang w:bidi="ar"/>
        </w:rPr>
        <w:t xml:space="preserve">，从业人员</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人，营业收入为</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万元，资产总额为</w:t>
      </w:r>
      <w:r>
        <w:rPr>
          <w:rFonts w:ascii="Times New Roman" w:hAnsi="Times New Roman" w:eastAsia="宋体" w:cs="Times New Roman"/>
          <w:spacing w:val="-5"/>
          <w:sz w:val="24"/>
          <w:szCs w:val="24"/>
          <w:u w:val="single"/>
          <w:lang w:bidi="ar"/>
        </w:rPr>
        <w:t xml:space="preserve">     </w:t>
      </w:r>
      <w:r>
        <w:rPr>
          <w:rFonts w:hint="eastAsia" w:ascii="宋体" w:hAnsi="宋体" w:eastAsia="宋体" w:cs="宋体"/>
          <w:spacing w:val="-5"/>
          <w:sz w:val="24"/>
          <w:szCs w:val="24"/>
          <w:lang w:bidi="ar"/>
        </w:rPr>
        <w:t xml:space="preserve">万元，属于</w:t>
      </w:r>
      <w:r>
        <w:rPr>
          <w:rFonts w:hint="eastAsia" w:ascii="宋体" w:hAnsi="宋体" w:eastAsia="宋体" w:cs="宋体"/>
          <w:spacing w:val="-5"/>
          <w:sz w:val="24"/>
          <w:szCs w:val="24"/>
          <w:u w:val="single"/>
          <w:lang w:bidi="ar"/>
        </w:rPr>
        <w:t xml:space="preserve">（中型企业、小型企业、微型企业）</w:t>
      </w:r>
      <w:r>
        <w:rPr>
          <w:rFonts w:hint="eastAsia" w:ascii="宋体" w:hAnsi="宋体" w:eastAsia="宋体" w:cs="宋体"/>
          <w:spacing w:val="-5"/>
          <w:sz w:val="24"/>
          <w:szCs w:val="24"/>
          <w:lang w:bidi="ar"/>
        </w:rPr>
        <w:t xml:space="preserve">；</w:t>
      </w:r>
      <w:r/>
    </w:p>
    <w:p>
      <w:pPr>
        <w:ind w:right="208" w:firstLine="396"/>
        <w:spacing w:beforeAutospacing="1" w:after="120" w:line="360" w:lineRule="auto"/>
        <w:rPr>
          <w:spacing w:val="-5"/>
          <w:sz w:val="24"/>
          <w:szCs w:val="24"/>
        </w:rPr>
      </w:pPr>
      <w:r>
        <w:rPr>
          <w:rFonts w:hint="eastAsia" w:ascii="宋体" w:hAnsi="宋体" w:eastAsia="宋体" w:cs="宋体"/>
          <w:spacing w:val="-5"/>
          <w:sz w:val="24"/>
          <w:szCs w:val="24"/>
          <w:lang w:bidi="ar"/>
        </w:rPr>
        <w:t xml:space="preserve">……</w:t>
      </w:r>
      <w:r/>
    </w:p>
    <w:p>
      <w:pPr>
        <w:ind w:right="208" w:firstLine="396"/>
        <w:spacing w:beforeAutospacing="1" w:after="120" w:line="360" w:lineRule="auto"/>
        <w:rPr>
          <w:spacing w:val="-5"/>
          <w:sz w:val="24"/>
          <w:szCs w:val="24"/>
        </w:rPr>
      </w:pPr>
      <w:r>
        <w:rPr>
          <w:rFonts w:hint="eastAsia" w:ascii="宋体" w:hAnsi="宋体" w:eastAsia="宋体" w:cs="宋体"/>
          <w:spacing w:val="-5"/>
          <w:sz w:val="24"/>
          <w:szCs w:val="24"/>
          <w:lang w:bidi="ar"/>
        </w:rPr>
        <w:t xml:space="preserve">以上企业，不属于大企业的分支机构，不存在控股股东为大企业的情形，也不存在与大企业的负责人为同一人的情形。</w:t>
      </w:r>
      <w:r/>
    </w:p>
    <w:p>
      <w:pPr>
        <w:ind w:right="208" w:firstLine="396"/>
        <w:spacing w:beforeAutospacing="1" w:after="120" w:line="360" w:lineRule="auto"/>
        <w:rPr>
          <w:spacing w:val="-5"/>
          <w:sz w:val="24"/>
          <w:szCs w:val="24"/>
        </w:rPr>
      </w:pPr>
      <w:r>
        <w:rPr>
          <w:rFonts w:hint="eastAsia" w:ascii="宋体" w:hAnsi="宋体" w:eastAsia="宋体" w:cs="宋体"/>
          <w:spacing w:val="-5"/>
          <w:sz w:val="24"/>
          <w:szCs w:val="24"/>
          <w:lang w:bidi="ar"/>
        </w:rPr>
        <w:t xml:space="preserve">本企业对上述声明内容的真实性负责。如有虚假，将依法承担相应责任。</w:t>
      </w:r>
      <w:r/>
    </w:p>
    <w:p>
      <w:pPr>
        <w:ind w:right="208" w:firstLine="5520"/>
        <w:spacing w:beforeAutospacing="1" w:after="120" w:line="360" w:lineRule="auto"/>
        <w:rPr>
          <w:spacing w:val="-5"/>
          <w:sz w:val="24"/>
          <w:szCs w:val="24"/>
        </w:rPr>
      </w:pPr>
      <w:r>
        <w:rPr>
          <w:rFonts w:hint="eastAsia" w:ascii="宋体" w:hAnsi="宋体" w:eastAsia="宋体" w:cs="宋体"/>
          <w:spacing w:val="-5"/>
          <w:sz w:val="24"/>
          <w:szCs w:val="24"/>
          <w:lang w:bidi="ar"/>
        </w:rPr>
        <w:t xml:space="preserve">企业名称（盖章）：</w:t>
      </w:r>
      <w:r/>
    </w:p>
    <w:p>
      <w:pPr>
        <w:ind w:firstLine="5750"/>
        <w:jc w:val="left"/>
        <w:widowControl/>
      </w:pPr>
      <w:r>
        <w:rPr>
          <w:rFonts w:hint="eastAsia" w:ascii="宋体" w:hAnsi="宋体" w:eastAsia="宋体" w:cs="Times New Roman"/>
          <w:spacing w:val="-5"/>
          <w:sz w:val="24"/>
          <w:szCs w:val="24"/>
          <w:lang w:bidi="ar"/>
        </w:rPr>
        <w:t xml:space="preserve">日期：</w:t>
      </w:r>
      <w:bookmarkEnd w:id="78"/>
      <w:r/>
      <w:r/>
    </w:p>
    <w:p>
      <w:pPr>
        <w:pStyle w:val="904"/>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04"/>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04"/>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04"/>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904"/>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904"/>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904"/>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904"/>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904"/>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904"/>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904"/>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904"/>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904"/>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904"/>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904"/>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4"/>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4"/>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904"/>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904"/>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4"/>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904"/>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904"/>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pStyle w:val="904"/>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1"/>
      <w:r/>
      <w:bookmarkEnd w:id="62"/>
      <w:r/>
      <w:bookmarkEnd w:id="63"/>
      <w:r/>
      <w:bookmarkEnd w:id="64"/>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headerReference w:type="default" r:id="rId12"/>
      <w:footerReference w:type="default" r:id="rId14"/>
      <w:footnotePr/>
      <w:endnotePr/>
      <w:type w:val="nextPage"/>
      <w:pgSz w:w="11906" w:h="16838" w:orient="portrait"/>
      <w:pgMar w:top="1418" w:right="1418" w:bottom="1474"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微软雅黑">
    <w:panose1 w:val="020B050302020402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µÈÏß Western">
    <w:panose1 w:val="020B050302020202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26</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pPr>
    <w:r>
      <w:rPr>
        <w:rFonts w:hint="eastAsia"/>
        <w:sz w:val="21"/>
        <w:szCs w:val="21"/>
      </w:rPr>
      <w:t xml:space="preserve">紫金山实验室第八届“强网”拟态防御国际精英挑战赛会务支撑服务项目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rPr>
        <w:rFonts w:ascii="Times New Roman" w:hAnsi="Times New Roman" w:cs="Times New Roman"/>
        <w:sz w:val="21"/>
        <w:szCs w:val="21"/>
      </w:rPr>
      <w:pBdr>
        <w:bottom w:val="none" w:color="auto" w:sz="0" w:space="1"/>
      </w:pBdr>
    </w:pPr>
    <w:r>
      <w:rPr>
        <w:rFonts w:ascii="Times New Roman" w:hAnsi="Times New Roman" w:cs="Times New Roman"/>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0"/>
      <w:jc w:val="right"/>
      <w:pBdr>
        <w:bottom w:val="single" w:color="auto" w:sz="4" w:space="0"/>
      </w:pBdr>
    </w:pPr>
    <w:r>
      <w:rPr>
        <w:rFonts w:hint="eastAsia"/>
        <w:szCs w:val="21"/>
      </w:rPr>
      <w:t xml:space="preserve">紫金山实验室第八届“强网”拟态防御国际精英挑战赛会务支撑服务项目</w:t>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895"/>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96"/>
    <w:link w:val="893"/>
    <w:uiPriority w:val="9"/>
    <w:rPr>
      <w:rFonts w:ascii="Arial" w:hAnsi="Arial" w:eastAsia="Arial" w:cs="Arial"/>
      <w:sz w:val="40"/>
      <w:szCs w:val="40"/>
    </w:rPr>
  </w:style>
  <w:style w:type="character" w:styleId="727">
    <w:name w:val="Heading 2 Char"/>
    <w:basedOn w:val="896"/>
    <w:link w:val="894"/>
    <w:uiPriority w:val="9"/>
    <w:rPr>
      <w:rFonts w:ascii="Arial" w:hAnsi="Arial" w:eastAsia="Arial" w:cs="Arial"/>
      <w:sz w:val="34"/>
    </w:rPr>
  </w:style>
  <w:style w:type="character" w:styleId="728">
    <w:name w:val="Heading 3 Char"/>
    <w:basedOn w:val="896"/>
    <w:link w:val="895"/>
    <w:uiPriority w:val="9"/>
    <w:rPr>
      <w:rFonts w:ascii="Arial" w:hAnsi="Arial" w:eastAsia="Arial" w:cs="Arial"/>
      <w:sz w:val="30"/>
      <w:szCs w:val="30"/>
    </w:rPr>
  </w:style>
  <w:style w:type="paragraph" w:styleId="729">
    <w:name w:val="Heading 4"/>
    <w:basedOn w:val="892"/>
    <w:next w:val="892"/>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basedOn w:val="896"/>
    <w:link w:val="729"/>
    <w:uiPriority w:val="9"/>
    <w:rPr>
      <w:rFonts w:ascii="Arial" w:hAnsi="Arial" w:eastAsia="Arial" w:cs="Arial"/>
      <w:b/>
      <w:bCs/>
      <w:sz w:val="26"/>
      <w:szCs w:val="26"/>
    </w:rPr>
  </w:style>
  <w:style w:type="paragraph" w:styleId="731">
    <w:name w:val="Heading 5"/>
    <w:basedOn w:val="892"/>
    <w:next w:val="892"/>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basedOn w:val="896"/>
    <w:link w:val="731"/>
    <w:uiPriority w:val="9"/>
    <w:rPr>
      <w:rFonts w:ascii="Arial" w:hAnsi="Arial" w:eastAsia="Arial" w:cs="Arial"/>
      <w:b/>
      <w:bCs/>
      <w:sz w:val="24"/>
      <w:szCs w:val="24"/>
    </w:rPr>
  </w:style>
  <w:style w:type="paragraph" w:styleId="733">
    <w:name w:val="Heading 6"/>
    <w:basedOn w:val="892"/>
    <w:next w:val="892"/>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basedOn w:val="896"/>
    <w:link w:val="733"/>
    <w:uiPriority w:val="9"/>
    <w:rPr>
      <w:rFonts w:ascii="Arial" w:hAnsi="Arial" w:eastAsia="Arial" w:cs="Arial"/>
      <w:b/>
      <w:bCs/>
      <w:sz w:val="22"/>
      <w:szCs w:val="22"/>
    </w:rPr>
  </w:style>
  <w:style w:type="paragraph" w:styleId="735">
    <w:name w:val="Heading 7"/>
    <w:basedOn w:val="892"/>
    <w:next w:val="892"/>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896"/>
    <w:link w:val="735"/>
    <w:uiPriority w:val="9"/>
    <w:rPr>
      <w:rFonts w:ascii="Arial" w:hAnsi="Arial" w:eastAsia="Arial" w:cs="Arial"/>
      <w:b/>
      <w:bCs/>
      <w:i/>
      <w:iCs/>
      <w:sz w:val="22"/>
      <w:szCs w:val="22"/>
    </w:rPr>
  </w:style>
  <w:style w:type="paragraph" w:styleId="737">
    <w:name w:val="Heading 8"/>
    <w:basedOn w:val="892"/>
    <w:next w:val="892"/>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basedOn w:val="896"/>
    <w:link w:val="737"/>
    <w:uiPriority w:val="9"/>
    <w:rPr>
      <w:rFonts w:ascii="Arial" w:hAnsi="Arial" w:eastAsia="Arial" w:cs="Arial"/>
      <w:i/>
      <w:iCs/>
      <w:sz w:val="22"/>
      <w:szCs w:val="22"/>
    </w:rPr>
  </w:style>
  <w:style w:type="paragraph" w:styleId="739">
    <w:name w:val="Heading 9"/>
    <w:basedOn w:val="892"/>
    <w:next w:val="892"/>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basedOn w:val="896"/>
    <w:link w:val="739"/>
    <w:uiPriority w:val="9"/>
    <w:rPr>
      <w:rFonts w:ascii="Arial" w:hAnsi="Arial" w:eastAsia="Arial" w:cs="Arial"/>
      <w:i/>
      <w:iCs/>
      <w:sz w:val="21"/>
      <w:szCs w:val="21"/>
    </w:rPr>
  </w:style>
  <w:style w:type="paragraph" w:styleId="741">
    <w:name w:val="No Spacing"/>
    <w:uiPriority w:val="1"/>
    <w:qFormat/>
    <w:pPr>
      <w:spacing w:before="0" w:after="0" w:line="240" w:lineRule="auto"/>
    </w:pPr>
  </w:style>
  <w:style w:type="character" w:styleId="742">
    <w:name w:val="Title Char"/>
    <w:basedOn w:val="896"/>
    <w:link w:val="918"/>
    <w:uiPriority w:val="10"/>
    <w:rPr>
      <w:sz w:val="48"/>
      <w:szCs w:val="48"/>
    </w:rPr>
  </w:style>
  <w:style w:type="paragraph" w:styleId="743">
    <w:name w:val="Subtitle"/>
    <w:basedOn w:val="892"/>
    <w:next w:val="892"/>
    <w:link w:val="744"/>
    <w:uiPriority w:val="11"/>
    <w:qFormat/>
    <w:pPr>
      <w:spacing w:before="200" w:after="200"/>
    </w:pPr>
    <w:rPr>
      <w:sz w:val="24"/>
      <w:szCs w:val="24"/>
    </w:rPr>
  </w:style>
  <w:style w:type="character" w:styleId="744">
    <w:name w:val="Subtitle Char"/>
    <w:basedOn w:val="896"/>
    <w:link w:val="743"/>
    <w:uiPriority w:val="11"/>
    <w:rPr>
      <w:sz w:val="24"/>
      <w:szCs w:val="24"/>
    </w:rPr>
  </w:style>
  <w:style w:type="paragraph" w:styleId="745">
    <w:name w:val="Quote"/>
    <w:basedOn w:val="892"/>
    <w:next w:val="892"/>
    <w:link w:val="746"/>
    <w:uiPriority w:val="29"/>
    <w:qFormat/>
    <w:pPr>
      <w:ind w:left="720" w:right="720"/>
    </w:pPr>
    <w:rPr>
      <w:i/>
    </w:rPr>
  </w:style>
  <w:style w:type="character" w:styleId="746">
    <w:name w:val="Quote Char"/>
    <w:link w:val="745"/>
    <w:uiPriority w:val="29"/>
    <w:rPr>
      <w:i/>
    </w:rPr>
  </w:style>
  <w:style w:type="paragraph" w:styleId="747">
    <w:name w:val="Intense Quote"/>
    <w:basedOn w:val="892"/>
    <w:next w:val="892"/>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6"/>
    <w:link w:val="913"/>
    <w:uiPriority w:val="99"/>
  </w:style>
  <w:style w:type="character" w:styleId="750">
    <w:name w:val="Footer Char"/>
    <w:basedOn w:val="896"/>
    <w:link w:val="912"/>
    <w:uiPriority w:val="99"/>
  </w:style>
  <w:style w:type="paragraph" w:styleId="751">
    <w:name w:val="Caption"/>
    <w:basedOn w:val="892"/>
    <w:next w:val="892"/>
    <w:uiPriority w:val="35"/>
    <w:semiHidden/>
    <w:unhideWhenUsed/>
    <w:qFormat/>
    <w:pPr>
      <w:spacing w:line="276" w:lineRule="auto"/>
    </w:pPr>
    <w:rPr>
      <w:b/>
      <w:bCs/>
      <w:color w:val="4f81bd" w:themeColor="accent1"/>
      <w:sz w:val="18"/>
      <w:szCs w:val="18"/>
    </w:rPr>
  </w:style>
  <w:style w:type="character" w:styleId="752">
    <w:name w:val="Caption Char"/>
    <w:basedOn w:val="751"/>
    <w:link w:val="912"/>
    <w:uiPriority w:val="99"/>
  </w:style>
  <w:style w:type="table" w:styleId="753">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9">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0">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1">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2">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3">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4">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1">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4">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5">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6">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7">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8">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9">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1">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2">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3">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4">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5">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6">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5">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6">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7">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8">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9">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0">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2">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3">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4">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5">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6">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7">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9">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0">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1">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2">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3">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4">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6">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0">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8">
    <w:name w:val="footnote text"/>
    <w:basedOn w:val="892"/>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896"/>
    <w:uiPriority w:val="99"/>
    <w:unhideWhenUsed/>
    <w:rPr>
      <w:vertAlign w:val="superscript"/>
    </w:rPr>
  </w:style>
  <w:style w:type="paragraph" w:styleId="881">
    <w:name w:val="endnote text"/>
    <w:basedOn w:val="892"/>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896"/>
    <w:uiPriority w:val="99"/>
    <w:semiHidden/>
    <w:unhideWhenUsed/>
    <w:rPr>
      <w:vertAlign w:val="superscript"/>
    </w:r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93">
    <w:name w:val="Heading 1"/>
    <w:basedOn w:val="892"/>
    <w:next w:val="892"/>
    <w:link w:val="959"/>
    <w:uiPriority w:val="9"/>
    <w:qFormat/>
    <w:pPr>
      <w:keepLines/>
      <w:keepNext/>
      <w:spacing w:before="340" w:after="330" w:line="578" w:lineRule="auto"/>
      <w:outlineLvl w:val="0"/>
    </w:pPr>
    <w:rPr>
      <w:b/>
      <w:bCs/>
      <w:sz w:val="44"/>
      <w:szCs w:val="44"/>
    </w:rPr>
  </w:style>
  <w:style w:type="paragraph" w:styleId="894">
    <w:name w:val="Heading 2"/>
    <w:basedOn w:val="892"/>
    <w:next w:val="892"/>
    <w:link w:val="1009"/>
    <w:uiPriority w:val="0"/>
    <w:qFormat/>
    <w:pPr>
      <w:keepLines/>
      <w:keepNext/>
      <w:spacing w:before="260" w:after="260" w:line="415" w:lineRule="auto"/>
      <w:outlineLvl w:val="1"/>
    </w:pPr>
    <w:rPr>
      <w:rFonts w:ascii="Arial" w:hAnsi="Arial" w:eastAsia="黑体" w:cs="Arial"/>
      <w:b/>
      <w:bCs/>
      <w:sz w:val="32"/>
      <w:szCs w:val="32"/>
    </w:rPr>
  </w:style>
  <w:style w:type="paragraph" w:styleId="895">
    <w:name w:val="Heading 3"/>
    <w:basedOn w:val="892"/>
    <w:next w:val="892"/>
    <w:link w:val="958"/>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896" w:default="1">
    <w:name w:val="Default Paragraph Font"/>
    <w:uiPriority w:val="1"/>
    <w:semiHidden/>
    <w:unhideWhenUsed/>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List Number 2"/>
    <w:basedOn w:val="892"/>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899">
    <w:name w:val="Normal Indent"/>
    <w:basedOn w:val="892"/>
    <w:uiPriority w:val="0"/>
    <w:qFormat/>
    <w:pPr>
      <w:ind w:firstLine="420"/>
    </w:pPr>
    <w:rPr>
      <w:rFonts w:ascii="Times New Roman" w:hAnsi="Times New Roman" w:eastAsia="宋体" w:cs="Times New Roman"/>
      <w:szCs w:val="20"/>
    </w:rPr>
  </w:style>
  <w:style w:type="paragraph" w:styleId="900">
    <w:name w:val="Document Map"/>
    <w:basedOn w:val="892"/>
    <w:link w:val="995"/>
    <w:uiPriority w:val="99"/>
    <w:semiHidden/>
    <w:unhideWhenUsed/>
    <w:qFormat/>
    <w:pPr>
      <w:shd w:val="clear" w:color="auto" w:fill="000080"/>
    </w:pPr>
  </w:style>
  <w:style w:type="paragraph" w:styleId="901">
    <w:name w:val="annotation text"/>
    <w:basedOn w:val="892"/>
    <w:link w:val="962"/>
    <w:uiPriority w:val="99"/>
    <w:qFormat/>
    <w:pPr>
      <w:jc w:val="left"/>
    </w:pPr>
    <w:rPr>
      <w:rFonts w:ascii="Times New Roman" w:hAnsi="Times New Roman" w:eastAsia="宋体" w:cs="Times New Roman"/>
      <w:szCs w:val="20"/>
    </w:rPr>
  </w:style>
  <w:style w:type="paragraph" w:styleId="902">
    <w:name w:val="Body Text 3"/>
    <w:basedOn w:val="892"/>
    <w:link w:val="939"/>
    <w:uiPriority w:val="0"/>
    <w:qFormat/>
    <w:pPr>
      <w:spacing w:after="120"/>
    </w:pPr>
    <w:rPr>
      <w:rFonts w:ascii="Times New Roman" w:hAnsi="Times New Roman" w:eastAsia="宋体" w:cs="Times New Roman"/>
      <w:sz w:val="16"/>
      <w:szCs w:val="16"/>
    </w:rPr>
  </w:style>
  <w:style w:type="paragraph" w:styleId="903">
    <w:name w:val="List Bullet 3"/>
    <w:basedOn w:val="892"/>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904">
    <w:name w:val="Body Text"/>
    <w:basedOn w:val="892"/>
    <w:link w:val="942"/>
    <w:uiPriority w:val="99"/>
    <w:unhideWhenUsed/>
    <w:qFormat/>
    <w:pPr>
      <w:spacing w:after="120"/>
    </w:pPr>
  </w:style>
  <w:style w:type="paragraph" w:styleId="905">
    <w:name w:val="Body Text Indent"/>
    <w:basedOn w:val="892"/>
    <w:next w:val="906"/>
    <w:link w:val="932"/>
    <w:uiPriority w:val="0"/>
    <w:qFormat/>
    <w:pPr>
      <w:ind w:left="900"/>
      <w:spacing w:after="120" w:line="360" w:lineRule="atLeast"/>
    </w:pPr>
    <w:rPr>
      <w:rFonts w:ascii="楷体_GB2312" w:hAnsi="Times New Roman" w:eastAsia="楷体_GB2312" w:cs="Times New Roman"/>
      <w:sz w:val="28"/>
      <w:szCs w:val="20"/>
    </w:rPr>
  </w:style>
  <w:style w:type="paragraph" w:styleId="906">
    <w:name w:val="envelope return"/>
    <w:uiPriority w:val="0"/>
    <w:qFormat/>
    <w:pPr>
      <w:jc w:val="both"/>
      <w:widowControl w:val="off"/>
    </w:pPr>
    <w:rPr>
      <w:rFonts w:ascii="Arial" w:hAnsi="Arial" w:eastAsia="宋体" w:cs="宋体"/>
      <w:sz w:val="21"/>
      <w:szCs w:val="21"/>
      <w:lang w:val="en-US" w:eastAsia="zh-CN" w:bidi="ar-SA"/>
    </w:rPr>
  </w:style>
  <w:style w:type="paragraph" w:styleId="907">
    <w:name w:val="index 4"/>
    <w:basedOn w:val="892"/>
    <w:next w:val="892"/>
    <w:uiPriority w:val="99"/>
    <w:semiHidden/>
    <w:unhideWhenUsed/>
    <w:qFormat/>
    <w:pPr>
      <w:ind w:left="600"/>
    </w:pPr>
  </w:style>
  <w:style w:type="paragraph" w:styleId="908">
    <w:name w:val="toc 3"/>
    <w:basedOn w:val="892"/>
    <w:next w:val="892"/>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909">
    <w:name w:val="Plain Text"/>
    <w:basedOn w:val="892"/>
    <w:link w:val="935"/>
    <w:uiPriority w:val="99"/>
    <w:qFormat/>
    <w:rPr>
      <w:rFonts w:ascii="宋体" w:hAnsi="Courier New" w:eastAsia="宋体" w:cs="Times New Roman"/>
      <w:szCs w:val="20"/>
    </w:rPr>
  </w:style>
  <w:style w:type="paragraph" w:styleId="910">
    <w:name w:val="Date"/>
    <w:basedOn w:val="892"/>
    <w:next w:val="892"/>
    <w:link w:val="937"/>
    <w:uiPriority w:val="99"/>
    <w:unhideWhenUsed/>
    <w:qFormat/>
    <w:pPr>
      <w:ind w:left="100"/>
    </w:pPr>
  </w:style>
  <w:style w:type="paragraph" w:styleId="911">
    <w:name w:val="Balloon Text"/>
    <w:basedOn w:val="892"/>
    <w:link w:val="936"/>
    <w:uiPriority w:val="99"/>
    <w:unhideWhenUsed/>
    <w:qFormat/>
    <w:rPr>
      <w:sz w:val="18"/>
      <w:szCs w:val="18"/>
    </w:rPr>
  </w:style>
  <w:style w:type="paragraph" w:styleId="912">
    <w:name w:val="Footer"/>
    <w:basedOn w:val="892"/>
    <w:link w:val="928"/>
    <w:uiPriority w:val="99"/>
    <w:unhideWhenUsed/>
    <w:qFormat/>
    <w:pPr>
      <w:jc w:val="left"/>
      <w:tabs>
        <w:tab w:val="center" w:pos="4153" w:leader="none"/>
        <w:tab w:val="right" w:pos="8306" w:leader="none"/>
      </w:tabs>
    </w:pPr>
    <w:rPr>
      <w:sz w:val="18"/>
      <w:szCs w:val="18"/>
    </w:rPr>
  </w:style>
  <w:style w:type="paragraph" w:styleId="913">
    <w:name w:val="Header"/>
    <w:basedOn w:val="892"/>
    <w:link w:val="92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4">
    <w:name w:val="toc 1"/>
    <w:basedOn w:val="892"/>
    <w:next w:val="892"/>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915">
    <w:name w:val="toc 2"/>
    <w:basedOn w:val="892"/>
    <w:next w:val="892"/>
    <w:uiPriority w:val="39"/>
    <w:unhideWhenUsed/>
    <w:qFormat/>
    <w:pPr>
      <w:ind w:left="221"/>
      <w:jc w:val="left"/>
      <w:spacing w:line="360" w:lineRule="auto"/>
      <w:widowControl/>
    </w:pPr>
    <w:rPr>
      <w:rFonts w:ascii="Times New Roman" w:hAnsi="Times New Roman" w:eastAsia="宋体" w:cs="Times New Roman"/>
      <w:sz w:val="22"/>
    </w:rPr>
  </w:style>
  <w:style w:type="paragraph" w:styleId="916">
    <w:name w:val="HTML Preformatted"/>
    <w:basedOn w:val="892"/>
    <w:link w:val="968"/>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917">
    <w:name w:val="Normal (Web)"/>
    <w:basedOn w:val="89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18">
    <w:name w:val="Title"/>
    <w:basedOn w:val="892"/>
    <w:link w:val="996"/>
    <w:uiPriority w:val="10"/>
    <w:qFormat/>
    <w:pPr>
      <w:jc w:val="center"/>
      <w:spacing w:before="240" w:after="60"/>
      <w:outlineLvl w:val="0"/>
    </w:pPr>
    <w:rPr>
      <w:rFonts w:ascii="Arial" w:hAnsi="Arial"/>
      <w:b/>
      <w:sz w:val="32"/>
    </w:rPr>
  </w:style>
  <w:style w:type="paragraph" w:styleId="919">
    <w:name w:val="annotation subject"/>
    <w:basedOn w:val="901"/>
    <w:next w:val="901"/>
    <w:link w:val="946"/>
    <w:uiPriority w:val="99"/>
    <w:unhideWhenUsed/>
    <w:qFormat/>
    <w:rPr>
      <w:rFonts w:asciiTheme="minorHAnsi" w:hAnsiTheme="minorHAnsi" w:eastAsiaTheme="minorEastAsia" w:cstheme="minorBidi"/>
      <w:b/>
      <w:bCs/>
      <w:szCs w:val="22"/>
    </w:rPr>
  </w:style>
  <w:style w:type="paragraph" w:styleId="920">
    <w:name w:val="Body Text First Indent 2"/>
    <w:basedOn w:val="892"/>
    <w:next w:val="892"/>
    <w:uiPriority w:val="99"/>
    <w:qFormat/>
    <w:pPr>
      <w:ind w:firstLine="420"/>
    </w:pPr>
  </w:style>
  <w:style w:type="table" w:styleId="921">
    <w:name w:val="Table Grid"/>
    <w:basedOn w:val="897"/>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22">
    <w:name w:val="Strong"/>
    <w:uiPriority w:val="22"/>
    <w:qFormat/>
    <w:rPr>
      <w:b/>
      <w:bCs/>
    </w:rPr>
  </w:style>
  <w:style w:type="character" w:styleId="923">
    <w:name w:val="FollowedHyperlink"/>
    <w:basedOn w:val="896"/>
    <w:uiPriority w:val="99"/>
    <w:unhideWhenUsed/>
    <w:qFormat/>
    <w:rPr>
      <w:color w:val="333333"/>
      <w:u w:val="none"/>
    </w:rPr>
  </w:style>
  <w:style w:type="character" w:styleId="924">
    <w:name w:val="Emphasis"/>
    <w:basedOn w:val="896"/>
    <w:uiPriority w:val="20"/>
    <w:qFormat/>
  </w:style>
  <w:style w:type="character" w:styleId="925">
    <w:name w:val="Hyperlink"/>
    <w:basedOn w:val="896"/>
    <w:uiPriority w:val="99"/>
    <w:unhideWhenUsed/>
    <w:qFormat/>
    <w:rPr>
      <w:color w:val="0563c1" w:themeColor="hyperlink"/>
      <w:u w:val="single"/>
      <w14:textFill>
        <w14:solidFill>
          <w14:schemeClr w14:val="hlink"/>
        </w14:solidFill>
      </w14:textFill>
    </w:rPr>
  </w:style>
  <w:style w:type="character" w:styleId="926">
    <w:name w:val="annotation reference"/>
    <w:basedOn w:val="896"/>
    <w:uiPriority w:val="99"/>
    <w:qFormat/>
    <w:rPr>
      <w:sz w:val="21"/>
      <w:szCs w:val="21"/>
    </w:rPr>
  </w:style>
  <w:style w:type="character" w:styleId="927" w:customStyle="1">
    <w:name w:val="页眉 字符"/>
    <w:basedOn w:val="896"/>
    <w:link w:val="913"/>
    <w:uiPriority w:val="99"/>
    <w:qFormat/>
    <w:rPr>
      <w:sz w:val="18"/>
      <w:szCs w:val="18"/>
    </w:rPr>
  </w:style>
  <w:style w:type="character" w:styleId="928" w:customStyle="1">
    <w:name w:val="页脚 字符"/>
    <w:basedOn w:val="896"/>
    <w:link w:val="912"/>
    <w:uiPriority w:val="99"/>
    <w:qFormat/>
    <w:rPr>
      <w:sz w:val="18"/>
      <w:szCs w:val="18"/>
    </w:rPr>
  </w:style>
  <w:style w:type="character" w:styleId="929" w:customStyle="1">
    <w:name w:val="标题 1 Char"/>
    <w:basedOn w:val="896"/>
    <w:uiPriority w:val="9"/>
    <w:qFormat/>
    <w:rPr>
      <w:b/>
      <w:bCs/>
      <w:sz w:val="44"/>
      <w:szCs w:val="44"/>
    </w:rPr>
  </w:style>
  <w:style w:type="paragraph" w:styleId="930" w:customStyle="1">
    <w:name w:val="TOC 标题1"/>
    <w:basedOn w:val="893"/>
    <w:next w:val="89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31" w:customStyle="1">
    <w:name w:val="列出段落1"/>
    <w:basedOn w:val="892"/>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32" w:customStyle="1">
    <w:name w:val="正文文本缩进 字符"/>
    <w:basedOn w:val="896"/>
    <w:link w:val="905"/>
    <w:uiPriority w:val="0"/>
    <w:qFormat/>
    <w:rPr>
      <w:rFonts w:ascii="楷体_GB2312" w:hAnsi="Times New Roman" w:eastAsia="楷体_GB2312" w:cs="Times New Roman"/>
      <w:sz w:val="28"/>
      <w:szCs w:val="20"/>
    </w:rPr>
  </w:style>
  <w:style w:type="paragraph" w:styleId="933" w:customStyle="1">
    <w:name w:val="蓝色显示"/>
    <w:basedOn w:val="892"/>
    <w:link w:val="934"/>
    <w:uiPriority w:val="0"/>
    <w:qFormat/>
    <w:pPr>
      <w:spacing w:before="340" w:after="330" w:line="400" w:lineRule="exact"/>
    </w:pPr>
    <w:rPr>
      <w:rFonts w:ascii="Times New Roman" w:hAnsi="Times New Roman" w:eastAsia="宋体" w:cs="Times New Roman"/>
      <w:b/>
      <w:color w:val="0070c0"/>
      <w:szCs w:val="24"/>
    </w:rPr>
  </w:style>
  <w:style w:type="character" w:styleId="934" w:customStyle="1">
    <w:name w:val="蓝色显示 Char"/>
    <w:link w:val="933"/>
    <w:uiPriority w:val="0"/>
    <w:qFormat/>
    <w:rPr>
      <w:rFonts w:ascii="Times New Roman" w:hAnsi="Times New Roman" w:eastAsia="宋体" w:cs="Times New Roman"/>
      <w:b/>
      <w:color w:val="0070c0"/>
      <w:szCs w:val="24"/>
    </w:rPr>
  </w:style>
  <w:style w:type="character" w:styleId="935" w:customStyle="1">
    <w:name w:val="纯文本 字符"/>
    <w:basedOn w:val="896"/>
    <w:link w:val="909"/>
    <w:uiPriority w:val="0"/>
    <w:qFormat/>
    <w:rPr>
      <w:rFonts w:ascii="宋体" w:hAnsi="Courier New" w:eastAsia="宋体" w:cs="Times New Roman"/>
      <w:szCs w:val="20"/>
    </w:rPr>
  </w:style>
  <w:style w:type="character" w:styleId="936" w:customStyle="1">
    <w:name w:val="批注框文本 字符"/>
    <w:basedOn w:val="896"/>
    <w:link w:val="911"/>
    <w:uiPriority w:val="99"/>
    <w:semiHidden/>
    <w:qFormat/>
    <w:rPr>
      <w:sz w:val="18"/>
      <w:szCs w:val="18"/>
    </w:rPr>
  </w:style>
  <w:style w:type="character" w:styleId="937" w:customStyle="1">
    <w:name w:val="日期 字符"/>
    <w:basedOn w:val="896"/>
    <w:link w:val="910"/>
    <w:uiPriority w:val="99"/>
    <w:semiHidden/>
    <w:qFormat/>
  </w:style>
  <w:style w:type="character" w:styleId="938" w:customStyle="1">
    <w:name w:val="批注文字 Char"/>
    <w:basedOn w:val="896"/>
    <w:uiPriority w:val="99"/>
    <w:qFormat/>
    <w:rPr>
      <w:rFonts w:ascii="Times New Roman" w:hAnsi="Times New Roman" w:eastAsia="宋体" w:cs="Times New Roman"/>
      <w:szCs w:val="20"/>
    </w:rPr>
  </w:style>
  <w:style w:type="character" w:styleId="939" w:customStyle="1">
    <w:name w:val="正文文本 3 字符"/>
    <w:basedOn w:val="896"/>
    <w:link w:val="902"/>
    <w:uiPriority w:val="0"/>
    <w:qFormat/>
    <w:rPr>
      <w:rFonts w:ascii="Times New Roman" w:hAnsi="Times New Roman" w:eastAsia="宋体" w:cs="Times New Roman"/>
      <w:sz w:val="16"/>
      <w:szCs w:val="16"/>
    </w:rPr>
  </w:style>
  <w:style w:type="paragraph" w:styleId="940" w:customStyle="1">
    <w:name w:val="正文00"/>
    <w:basedOn w:val="892"/>
    <w:uiPriority w:val="0"/>
    <w:qFormat/>
    <w:pPr>
      <w:ind w:firstLine="200"/>
      <w:spacing w:line="360" w:lineRule="auto"/>
    </w:pPr>
    <w:rPr>
      <w:rFonts w:ascii="Times New Roman" w:hAnsi="Times New Roman" w:eastAsia="宋体" w:cs="Times New Roman"/>
      <w:sz w:val="24"/>
      <w:szCs w:val="21"/>
    </w:rPr>
  </w:style>
  <w:style w:type="paragraph" w:styleId="941" w:customStyle="1">
    <w:name w:val="普通正文"/>
    <w:basedOn w:val="892"/>
    <w:uiPriority w:val="0"/>
    <w:qFormat/>
    <w:pPr>
      <w:ind w:firstLine="480"/>
      <w:jc w:val="left"/>
      <w:spacing w:before="120" w:after="120" w:line="360" w:lineRule="auto"/>
      <w:widowControl/>
    </w:pPr>
    <w:rPr>
      <w:rFonts w:ascii="Arial" w:hAnsi="Arial" w:eastAsia="宋体" w:cs="宋体"/>
      <w:sz w:val="24"/>
      <w:szCs w:val="24"/>
    </w:rPr>
  </w:style>
  <w:style w:type="character" w:styleId="942" w:customStyle="1">
    <w:name w:val="正文文本 字符"/>
    <w:basedOn w:val="896"/>
    <w:link w:val="904"/>
    <w:uiPriority w:val="0"/>
    <w:qFormat/>
  </w:style>
  <w:style w:type="paragraph" w:styleId="943" w:customStyle="1">
    <w:name w:val="Default"/>
    <w:uiPriority w:val="0"/>
    <w:qFormat/>
    <w:rPr>
      <w:rFonts w:ascii="宋体" w:hAnsi="Times New Roman" w:eastAsia="宋体" w:cs="宋体"/>
      <w:color w:val="000000"/>
      <w:sz w:val="24"/>
      <w:szCs w:val="24"/>
      <w:lang w:val="en-US" w:eastAsia="zh-CN" w:bidi="ar-SA"/>
    </w:rPr>
  </w:style>
  <w:style w:type="paragraph" w:styleId="944" w:customStyle="1">
    <w:name w:val="Table Paragraph"/>
    <w:basedOn w:val="892"/>
    <w:uiPriority w:val="1"/>
    <w:qFormat/>
    <w:pPr>
      <w:jc w:val="left"/>
    </w:pPr>
    <w:rPr>
      <w:rFonts w:ascii="Times New Roman" w:hAnsi="Times New Roman" w:eastAsia="宋体" w:cs="Times New Roman"/>
      <w:sz w:val="24"/>
      <w:szCs w:val="24"/>
    </w:rPr>
  </w:style>
  <w:style w:type="paragraph" w:styleId="945" w:customStyle="1">
    <w:name w:val="_Style 20"/>
    <w:basedOn w:val="892"/>
    <w:next w:val="931"/>
    <w:uiPriority w:val="34"/>
    <w:qFormat/>
    <w:pPr>
      <w:ind w:firstLine="420"/>
    </w:pPr>
    <w:rPr>
      <w:rFonts w:ascii="Times New Roman" w:hAnsi="Times New Roman" w:eastAsia="宋体" w:cs="Times New Roman"/>
      <w:szCs w:val="21"/>
    </w:rPr>
  </w:style>
  <w:style w:type="character" w:styleId="946" w:customStyle="1">
    <w:name w:val="批注主题 字符"/>
    <w:basedOn w:val="938"/>
    <w:link w:val="919"/>
    <w:uiPriority w:val="99"/>
    <w:semiHidden/>
    <w:qFormat/>
    <w:rPr>
      <w:rFonts w:ascii="Times New Roman" w:hAnsi="Times New Roman" w:eastAsia="宋体" w:cs="Times New Roman"/>
      <w:b/>
      <w:bCs/>
      <w:sz w:val="21"/>
      <w:szCs w:val="22"/>
    </w:rPr>
  </w:style>
  <w:style w:type="paragraph" w:styleId="947" w:customStyle="1">
    <w:name w:val="_Style 6"/>
    <w:basedOn w:val="892"/>
    <w:uiPriority w:val="34"/>
    <w:qFormat/>
    <w:pPr>
      <w:ind w:firstLine="420"/>
      <w:widowControl/>
    </w:pPr>
    <w:rPr>
      <w:rFonts w:ascii="Calibri" w:hAnsi="Calibri"/>
      <w:sz w:val="34"/>
      <w:szCs w:val="21"/>
    </w:rPr>
  </w:style>
  <w:style w:type="paragraph" w:styleId="948" w:customStyle="1">
    <w:name w:val="列出段落11"/>
    <w:basedOn w:val="892"/>
    <w:uiPriority w:val="99"/>
    <w:qFormat/>
    <w:pPr>
      <w:contextualSpacing/>
      <w:ind w:left="720"/>
    </w:pPr>
    <w:rPr>
      <w:rFonts w:ascii="黑体" w:hAnsi="黑体" w:eastAsia="Arial" w:cs="黑体"/>
      <w:szCs w:val="21"/>
    </w:rPr>
  </w:style>
  <w:style w:type="character" w:styleId="949" w:customStyle="1">
    <w:name w:val="bsharetext"/>
    <w:basedOn w:val="896"/>
    <w:uiPriority w:val="0"/>
    <w:qFormat/>
  </w:style>
  <w:style w:type="character" w:styleId="950" w:customStyle="1">
    <w:name w:val="active2"/>
    <w:basedOn w:val="896"/>
    <w:uiPriority w:val="0"/>
    <w:qFormat/>
    <w:rPr>
      <w:shd w:val="clear" w:color="auto" w:fill="0162b1"/>
    </w:rPr>
  </w:style>
  <w:style w:type="character" w:styleId="951" w:customStyle="1">
    <w:name w:val="add3"/>
    <w:basedOn w:val="896"/>
    <w:uiPriority w:val="0"/>
    <w:qFormat/>
  </w:style>
  <w:style w:type="paragraph" w:styleId="952">
    <w:name w:val="List Paragraph"/>
    <w:basedOn w:val="892"/>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953" w:customStyle="1">
    <w:name w:val="fontstyle01"/>
    <w:uiPriority w:val="0"/>
    <w:qFormat/>
    <w:rPr>
      <w:rFonts w:hint="eastAsia" w:ascii="宋体" w:hAnsi="宋体" w:eastAsia="宋体"/>
      <w:color w:val="000000"/>
      <w:sz w:val="24"/>
      <w:szCs w:val="24"/>
    </w:rPr>
  </w:style>
  <w:style w:type="character" w:styleId="954" w:customStyle="1">
    <w:name w:val="fontstyle21"/>
    <w:uiPriority w:val="0"/>
    <w:qFormat/>
    <w:rPr>
      <w:rFonts w:hint="default" w:ascii="Times New Roman" w:hAnsi="Times New Roman" w:cs="Times New Roman"/>
      <w:color w:val="000000"/>
      <w:sz w:val="24"/>
      <w:szCs w:val="24"/>
    </w:rPr>
  </w:style>
  <w:style w:type="paragraph" w:styleId="955"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956" w:customStyle="1">
    <w:name w:val="表格中文字（dbapp）"/>
    <w:basedOn w:val="892"/>
    <w:uiPriority w:val="0"/>
    <w:qFormat/>
    <w:pPr>
      <w:jc w:val="left"/>
      <w:spacing w:before="20" w:after="20"/>
    </w:pPr>
    <w:rPr>
      <w:rFonts w:ascii="方正兰亭黑简体" w:hAnsi="方正兰亭黑简体" w:eastAsia="方正兰亭黑简体"/>
      <w:szCs w:val="21"/>
    </w:rPr>
  </w:style>
  <w:style w:type="paragraph" w:styleId="957" w:customStyle="1">
    <w:name w:val="msolistparagraph"/>
    <w:basedOn w:val="892"/>
    <w:uiPriority w:val="0"/>
    <w:qFormat/>
    <w:pPr>
      <w:ind w:firstLine="420"/>
    </w:pPr>
    <w:rPr>
      <w:rFonts w:ascii="Calibri" w:hAnsi="Calibri" w:eastAsia="宋体" w:cs="Times New Roman"/>
    </w:rPr>
  </w:style>
  <w:style w:type="character" w:styleId="958" w:customStyle="1">
    <w:name w:val="标题 3 字符1"/>
    <w:basedOn w:val="896"/>
    <w:link w:val="895"/>
    <w:uiPriority w:val="0"/>
    <w:qFormat/>
    <w:rPr>
      <w:b/>
      <w:bCs/>
      <w:sz w:val="32"/>
      <w:szCs w:val="32"/>
    </w:rPr>
  </w:style>
  <w:style w:type="character" w:styleId="959" w:customStyle="1">
    <w:name w:val="标题 1 字符1"/>
    <w:basedOn w:val="896"/>
    <w:link w:val="893"/>
    <w:uiPriority w:val="0"/>
    <w:qFormat/>
    <w:rPr>
      <w:b/>
      <w:bCs/>
      <w:sz w:val="32"/>
      <w:szCs w:val="44"/>
    </w:rPr>
  </w:style>
  <w:style w:type="character" w:styleId="960" w:customStyle="1">
    <w:name w:val="标题 2 字符1"/>
    <w:basedOn w:val="896"/>
    <w:uiPriority w:val="0"/>
    <w:qFormat/>
    <w:rPr>
      <w:rFonts w:hint="default" w:ascii="Cambria" w:hAnsi="Cambria" w:eastAsia="Cambria" w:cs="Cambria"/>
      <w:b/>
      <w:bCs/>
      <w:sz w:val="32"/>
      <w:szCs w:val="32"/>
    </w:rPr>
  </w:style>
  <w:style w:type="character" w:styleId="961" w:customStyle="1">
    <w:name w:val="批注文字 字符1"/>
    <w:basedOn w:val="896"/>
    <w:uiPriority w:val="0"/>
    <w:qFormat/>
    <w:rPr>
      <w:sz w:val="21"/>
      <w:szCs w:val="24"/>
    </w:rPr>
  </w:style>
  <w:style w:type="character" w:styleId="962" w:customStyle="1">
    <w:name w:val="批注文字 字符"/>
    <w:basedOn w:val="896"/>
    <w:link w:val="901"/>
    <w:uiPriority w:val="0"/>
    <w:qFormat/>
    <w:rPr>
      <w:sz w:val="21"/>
      <w:szCs w:val="24"/>
    </w:rPr>
  </w:style>
  <w:style w:type="paragraph" w:styleId="963"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64"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65"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66"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67"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68" w:customStyle="1">
    <w:name w:val="HTML 预设格式 字符"/>
    <w:basedOn w:val="896"/>
    <w:link w:val="916"/>
    <w:uiPriority w:val="0"/>
    <w:qFormat/>
    <w:rPr>
      <w:rFonts w:hint="eastAsia" w:ascii="宋体" w:hAnsi="宋体" w:eastAsia="宋体" w:cs="宋体"/>
      <w:sz w:val="24"/>
      <w:szCs w:val="24"/>
    </w:rPr>
  </w:style>
  <w:style w:type="paragraph" w:styleId="969"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970"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971"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972"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973"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974"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975" w:customStyle="1">
    <w:name w:val="_正文段落 Char Char"/>
    <w:basedOn w:val="896"/>
    <w:uiPriority w:val="0"/>
    <w:qFormat/>
    <w:rPr>
      <w:sz w:val="24"/>
      <w:szCs w:val="24"/>
    </w:rPr>
  </w:style>
  <w:style w:type="paragraph" w:styleId="976" w:customStyle="1">
    <w:name w:val="正文段落样式"/>
    <w:basedOn w:val="892"/>
    <w:link w:val="978"/>
    <w:uiPriority w:val="0"/>
    <w:qFormat/>
    <w:pPr>
      <w:ind w:firstLine="420"/>
      <w:jc w:val="left"/>
      <w:spacing w:line="360" w:lineRule="auto"/>
    </w:pPr>
    <w:rPr>
      <w:rFonts w:hint="eastAsia" w:ascii="等线" w:hAnsi="等线" w:eastAsia="等线" w:cs="Times New Roman"/>
      <w:sz w:val="24"/>
      <w:szCs w:val="21"/>
    </w:rPr>
  </w:style>
  <w:style w:type="character" w:styleId="977" w:customStyle="1">
    <w:name w:val="列表段落 字符"/>
    <w:basedOn w:val="896"/>
    <w:uiPriority w:val="0"/>
    <w:qFormat/>
    <w:rPr>
      <w:rFonts w:hint="eastAsia" w:ascii="Arial Unicode MS" w:hAnsi="Arial Unicode MS" w:eastAsia="等线" w:cs="Arial Unicode MS"/>
      <w:color w:val="000000"/>
      <w:lang w:eastAsia="en-US"/>
    </w:rPr>
  </w:style>
  <w:style w:type="character" w:styleId="978" w:customStyle="1">
    <w:name w:val="正文段落样式 Char"/>
    <w:basedOn w:val="896"/>
    <w:link w:val="976"/>
    <w:uiPriority w:val="0"/>
    <w:qFormat/>
    <w:rPr>
      <w:rFonts w:hint="eastAsia" w:ascii="等线" w:hAnsi="等线" w:eastAsia="等线" w:cs="Times New Roman"/>
      <w:sz w:val="24"/>
      <w:szCs w:val="21"/>
    </w:rPr>
  </w:style>
  <w:style w:type="paragraph" w:styleId="979"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980"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981" w:customStyle="1">
    <w:name w:val="标题 6 字符"/>
    <w:basedOn w:val="896"/>
    <w:uiPriority w:val="0"/>
    <w:qFormat/>
    <w:rPr>
      <w:rFonts w:ascii="Arial" w:hAnsi="Arial" w:eastAsia="黑体" w:cs="Times New Roman"/>
      <w:sz w:val="22"/>
      <w:szCs w:val="20"/>
    </w:rPr>
  </w:style>
  <w:style w:type="character" w:styleId="982" w:customStyle="1">
    <w:name w:val="文档正文 Char"/>
    <w:basedOn w:val="896"/>
    <w:uiPriority w:val="0"/>
    <w:qFormat/>
    <w:rPr>
      <w:rFonts w:hint="default" w:ascii="Times New Roman" w:hAnsi="Times New Roman" w:eastAsia="宋体" w:cs="Times New Roman"/>
      <w:sz w:val="22"/>
      <w:szCs w:val="20"/>
    </w:rPr>
  </w:style>
  <w:style w:type="character" w:styleId="983" w:customStyle="1">
    <w:name w:val="标题 5 字符"/>
    <w:basedOn w:val="896"/>
    <w:uiPriority w:val="0"/>
    <w:qFormat/>
    <w:rPr>
      <w:rFonts w:hint="default" w:ascii="Times New Roman" w:hAnsi="Times New Roman" w:eastAsia="宋体" w:cs="Times New Roman"/>
      <w:sz w:val="28"/>
      <w:szCs w:val="20"/>
    </w:rPr>
  </w:style>
  <w:style w:type="character" w:styleId="984" w:customStyle="1">
    <w:name w:val="正文(首行缩进) Char"/>
    <w:basedOn w:val="896"/>
    <w:link w:val="985"/>
    <w:uiPriority w:val="0"/>
    <w:qFormat/>
    <w:rPr>
      <w:rFonts w:hint="default" w:ascii="Times New Roman" w:hAnsi="Times New Roman" w:eastAsia="宋体" w:cs="Times New Roman"/>
      <w:sz w:val="24"/>
      <w:szCs w:val="24"/>
    </w:rPr>
  </w:style>
  <w:style w:type="paragraph" w:styleId="985" w:customStyle="1">
    <w:name w:val="正文(首行缩进)"/>
    <w:basedOn w:val="892"/>
    <w:next w:val="892"/>
    <w:link w:val="984"/>
    <w:uiPriority w:val="0"/>
    <w:qFormat/>
    <w:pPr>
      <w:ind w:firstLine="480"/>
      <w:spacing w:line="360" w:lineRule="auto"/>
    </w:pPr>
    <w:rPr>
      <w:rFonts w:ascii="Times New Roman" w:hAnsi="Times New Roman" w:eastAsia="宋体" w:cs="Times New Roman"/>
      <w:sz w:val="24"/>
      <w:szCs w:val="24"/>
    </w:rPr>
  </w:style>
  <w:style w:type="character" w:styleId="986" w:customStyle="1">
    <w:name w:val="标题 4 字符"/>
    <w:basedOn w:val="896"/>
    <w:uiPriority w:val="0"/>
    <w:qFormat/>
    <w:rPr>
      <w:rFonts w:hint="eastAsia" w:ascii="宋体" w:hAnsi="宋体" w:eastAsia="宋体" w:cs="Times New Roman"/>
      <w:b/>
      <w:sz w:val="24"/>
      <w:szCs w:val="24"/>
    </w:rPr>
  </w:style>
  <w:style w:type="paragraph" w:styleId="987" w:customStyle="1">
    <w:name w:val="表格内容"/>
    <w:basedOn w:val="892"/>
    <w:uiPriority w:val="0"/>
    <w:qFormat/>
    <w:pPr>
      <w:ind w:left="420"/>
      <w:spacing w:before="156" w:after="156" w:line="300" w:lineRule="auto"/>
    </w:pPr>
    <w:rPr>
      <w:rFonts w:ascii="Times New Roman" w:hAnsi="Times New Roman" w:eastAsia="宋体" w:cs="Times New Roman"/>
      <w:sz w:val="18"/>
      <w:szCs w:val="24"/>
    </w:rPr>
  </w:style>
  <w:style w:type="character" w:styleId="988" w:customStyle="1">
    <w:name w:val="标题 3 字符"/>
    <w:basedOn w:val="896"/>
    <w:uiPriority w:val="0"/>
    <w:qFormat/>
    <w:rPr>
      <w:rFonts w:hint="eastAsia" w:ascii="宋体" w:hAnsi="宋体" w:eastAsia="宋体" w:cs="Times New Roman"/>
      <w:b/>
      <w:bCs/>
      <w:sz w:val="24"/>
      <w:szCs w:val="24"/>
    </w:rPr>
  </w:style>
  <w:style w:type="character" w:styleId="989" w:customStyle="1">
    <w:name w:val="标题 1 字符"/>
    <w:basedOn w:val="896"/>
    <w:uiPriority w:val="0"/>
    <w:qFormat/>
    <w:rPr>
      <w:rFonts w:hint="eastAsia" w:ascii="宋体" w:hAnsi="宋体" w:eastAsia="宋体" w:cs="Times New Roman"/>
      <w:b/>
      <w:bCs/>
      <w:sz w:val="36"/>
      <w:szCs w:val="36"/>
    </w:rPr>
  </w:style>
  <w:style w:type="character" w:styleId="990" w:customStyle="1">
    <w:name w:val="标题 9 字符"/>
    <w:basedOn w:val="896"/>
    <w:uiPriority w:val="0"/>
    <w:qFormat/>
    <w:rPr>
      <w:rFonts w:hint="default" w:ascii="Arial" w:hAnsi="Arial" w:eastAsia="黑体" w:cs="Times New Roman"/>
      <w:sz w:val="22"/>
      <w:szCs w:val="20"/>
    </w:rPr>
  </w:style>
  <w:style w:type="character" w:styleId="991" w:customStyle="1">
    <w:name w:val="标题 8 字符"/>
    <w:basedOn w:val="896"/>
    <w:uiPriority w:val="0"/>
    <w:qFormat/>
    <w:rPr>
      <w:rFonts w:hint="default" w:ascii="Arial" w:hAnsi="Arial" w:eastAsia="黑体" w:cs="Times New Roman"/>
      <w:sz w:val="22"/>
      <w:szCs w:val="20"/>
    </w:rPr>
  </w:style>
  <w:style w:type="character" w:styleId="992" w:customStyle="1">
    <w:name w:val="[正文行首缩进] Char"/>
    <w:basedOn w:val="896"/>
    <w:link w:val="993"/>
    <w:uiPriority w:val="0"/>
    <w:qFormat/>
    <w:rPr>
      <w:rFonts w:hint="eastAsia" w:ascii="宋体" w:hAnsi="宋体" w:eastAsia="宋体" w:cs="宋体"/>
      <w:color w:val="000000"/>
      <w:sz w:val="24"/>
      <w:szCs w:val="24"/>
    </w:rPr>
  </w:style>
  <w:style w:type="paragraph" w:styleId="993" w:customStyle="1">
    <w:name w:val="[正文行首缩进]"/>
    <w:basedOn w:val="892"/>
    <w:link w:val="992"/>
    <w:uiPriority w:val="0"/>
    <w:qFormat/>
    <w:pPr>
      <w:jc w:val="center"/>
      <w:spacing w:line="360" w:lineRule="auto"/>
    </w:pPr>
    <w:rPr>
      <w:rFonts w:hint="eastAsia" w:ascii="宋体" w:hAnsi="等线" w:eastAsia="等线" w:cs="Times New Roman"/>
      <w:color w:val="000000"/>
      <w:sz w:val="24"/>
      <w:szCs w:val="24"/>
    </w:rPr>
  </w:style>
  <w:style w:type="character" w:styleId="994" w:customStyle="1">
    <w:name w:val="正文缩进 字符"/>
    <w:basedOn w:val="896"/>
    <w:uiPriority w:val="0"/>
    <w:qFormat/>
    <w:rPr>
      <w:sz w:val="24"/>
    </w:rPr>
  </w:style>
  <w:style w:type="character" w:styleId="995" w:customStyle="1">
    <w:name w:val="文档结构图 字符"/>
    <w:basedOn w:val="896"/>
    <w:link w:val="900"/>
    <w:uiPriority w:val="0"/>
    <w:qFormat/>
    <w:rPr>
      <w:rFonts w:hint="eastAsia" w:ascii="Microsoft YaHei UI" w:hAnsi="Microsoft YaHei UI" w:eastAsia="Microsoft YaHei UI" w:cs="Microsoft YaHei UI"/>
      <w:sz w:val="18"/>
      <w:szCs w:val="18"/>
    </w:rPr>
  </w:style>
  <w:style w:type="character" w:styleId="996" w:customStyle="1">
    <w:name w:val="标题 字符"/>
    <w:basedOn w:val="896"/>
    <w:link w:val="918"/>
    <w:uiPriority w:val="0"/>
    <w:qFormat/>
    <w:rPr>
      <w:rFonts w:ascii="等线 Light" w:hAnsi="等线 Light" w:eastAsia="等线 Light" w:cs="Times New Roman"/>
      <w:b/>
      <w:bCs/>
      <w:sz w:val="32"/>
      <w:szCs w:val="32"/>
    </w:rPr>
  </w:style>
  <w:style w:type="character" w:styleId="997" w:customStyle="1">
    <w:name w:val="标题 2 字符"/>
    <w:basedOn w:val="896"/>
    <w:uiPriority w:val="0"/>
    <w:qFormat/>
    <w:rPr>
      <w:rFonts w:hint="eastAsia" w:ascii="宋体" w:hAnsi="宋体" w:eastAsia="宋体" w:cs="Times New Roman"/>
      <w:b/>
      <w:bCs/>
      <w:sz w:val="28"/>
      <w:szCs w:val="32"/>
    </w:rPr>
  </w:style>
  <w:style w:type="character" w:styleId="998" w:customStyle="1">
    <w:name w:val="标题 7 字符"/>
    <w:basedOn w:val="896"/>
    <w:uiPriority w:val="0"/>
    <w:qFormat/>
    <w:rPr>
      <w:rFonts w:hint="default" w:ascii="Times New Roman" w:hAnsi="Times New Roman" w:eastAsia="宋体" w:cs="Times New Roman"/>
      <w:b/>
      <w:sz w:val="22"/>
      <w:szCs w:val="20"/>
    </w:rPr>
  </w:style>
  <w:style w:type="paragraph" w:styleId="999" w:customStyle="1">
    <w:name w:val="表格标题"/>
    <w:basedOn w:val="892"/>
    <w:uiPriority w:val="0"/>
    <w:qFormat/>
    <w:pPr>
      <w:jc w:val="center"/>
      <w:spacing w:before="62" w:after="62" w:line="360" w:lineRule="auto"/>
    </w:pPr>
    <w:rPr>
      <w:rFonts w:hint="eastAsia" w:ascii="宋体" w:hAnsi="宋体" w:eastAsia="宋体" w:cs="Times New Roman"/>
      <w:b/>
      <w:bCs/>
      <w:szCs w:val="20"/>
    </w:rPr>
  </w:style>
  <w:style w:type="table" w:styleId="1000" w:customStyle="1">
    <w:name w:val="Table Normal"/>
    <w:basedOn w:val="897"/>
    <w:uiPriority w:val="0"/>
    <w:semiHidden/>
    <w:qFormat/>
    <w:pPr>
      <w:widowControl w:val="off"/>
    </w:pPr>
    <w:rPr>
      <w:rFonts w:hint="eastAsia"/>
      <w:sz w:val="22"/>
      <w:szCs w:val="22"/>
      <w:lang w:eastAsia="en-US"/>
    </w:rPr>
    <w:tblPr>
      <w:tblCellMar>
        <w:left w:w="0" w:type="dxa"/>
        <w:right w:w="0" w:type="dxa"/>
      </w:tblCellMar>
    </w:tblPr>
  </w:style>
  <w:style w:type="paragraph" w:styleId="1001"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1002" w:customStyle="1">
    <w:name w:val="正文文本首行缩进 字符"/>
    <w:uiPriority w:val="0"/>
    <w:qFormat/>
    <w:rPr>
      <w:rFonts w:hint="default" w:ascii="Calibri" w:hAnsi="Calibri" w:eastAsia="宋体" w:cs="Times New Roman"/>
      <w:sz w:val="21"/>
      <w:szCs w:val="22"/>
    </w:rPr>
  </w:style>
  <w:style w:type="paragraph" w:styleId="1003" w:customStyle="1">
    <w:name w:val="表正文"/>
    <w:basedOn w:val="892"/>
    <w:uiPriority w:val="0"/>
    <w:qFormat/>
    <w:rPr>
      <w:rFonts w:hint="eastAsia" w:ascii="等线" w:hAnsi="等线" w:eastAsia="宋体" w:cs="Times New Roman"/>
      <w:sz w:val="18"/>
    </w:rPr>
  </w:style>
  <w:style w:type="paragraph" w:styleId="1004"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1005" w:customStyle="1">
    <w:name w:val="列出段落 Char"/>
    <w:basedOn w:val="896"/>
    <w:uiPriority w:val="0"/>
    <w:qFormat/>
    <w:rPr>
      <w:rFonts w:hint="eastAsia" w:ascii="Arial Unicode MS" w:hAnsi="Arial Unicode MS" w:eastAsia="Arial Unicode MS" w:cs="Arial Unicode MS"/>
      <w:color w:val="000000"/>
      <w:sz w:val="20"/>
      <w:szCs w:val="20"/>
      <w:lang w:eastAsia="en-US"/>
    </w:rPr>
  </w:style>
  <w:style w:type="character" w:styleId="1006" w:customStyle="1">
    <w:name w:val="标题 2 字符2"/>
    <w:basedOn w:val="896"/>
    <w:uiPriority w:val="0"/>
    <w:qFormat/>
    <w:rPr>
      <w:rFonts w:hint="default" w:ascii="Arial" w:hAnsi="Arial" w:eastAsia="黑体" w:cs="Arial"/>
      <w:b/>
      <w:bCs/>
      <w:sz w:val="32"/>
      <w:szCs w:val="32"/>
    </w:rPr>
  </w:style>
  <w:style w:type="paragraph" w:styleId="1007"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1008"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1009" w:customStyle="1">
    <w:name w:val="标题 2 字符3"/>
    <w:basedOn w:val="896"/>
    <w:link w:val="894"/>
    <w:uiPriority w:val="0"/>
    <w:qFormat/>
    <w:rPr>
      <w:rFonts w:hint="default" w:ascii="Arial" w:hAnsi="Arial" w:eastAsia="黑体" w:cs="Arial"/>
      <w:b/>
      <w:bCs/>
      <w:sz w:val="32"/>
      <w:szCs w:val="32"/>
    </w:rPr>
  </w:style>
  <w:style w:type="character" w:styleId="1010" w:customStyle="1">
    <w:name w:val="列出段落 Char1"/>
    <w:basedOn w:val="896"/>
    <w:uiPriority w:val="0"/>
    <w:qFormat/>
    <w:rPr>
      <w:rFonts w:hint="eastAsia" w:ascii="Arial Unicode MS" w:hAnsi="Arial Unicode MS" w:eastAsia="Arial Unicode MS" w:cs="Arial Unicode MS"/>
      <w:color w:val="000000"/>
      <w:sz w:val="20"/>
      <w:szCs w:val="20"/>
      <w:lang w:eastAsia="en-US"/>
    </w:rPr>
  </w:style>
  <w:style w:type="paragraph" w:styleId="1011"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1012"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1013" w:customStyle="1">
    <w:name w:val="Table Text"/>
    <w:basedOn w:val="892"/>
    <w:hidden/>
    <w:uiPriority w:val="0"/>
    <w:qFormat/>
    <w:pPr>
      <w:jc w:val="left"/>
      <w:widowControl/>
    </w:pPr>
    <w:rPr>
      <w:rFonts w:hint="eastAsia" w:ascii="宋体" w:hAnsi="宋体" w:eastAsia="宋体" w:cs="Times New Roman"/>
      <w:color w:val="000000"/>
      <w:szCs w:val="21"/>
    </w:rPr>
  </w:style>
  <w:style w:type="paragraph" w:styleId="1014"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1015"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1016" w:customStyle="1">
    <w:name w:val="纯文本 字符1"/>
    <w:basedOn w:val="896"/>
    <w:uiPriority w:val="0"/>
    <w:qFormat/>
    <w:rPr>
      <w:rFonts w:hint="eastAsia" w:ascii="宋体" w:hAnsi="Courier New" w:eastAsia="宋体" w:cs="Courier New"/>
      <w:szCs w:val="24"/>
    </w:rPr>
  </w:style>
  <w:style w:type="paragraph" w:styleId="1017"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1018" w:customStyle="1">
    <w:name w:val="段"/>
    <w:basedOn w:val="892"/>
    <w:next w:val="892"/>
    <w:uiPriority w:val="0"/>
    <w:qFormat/>
    <w:pPr>
      <w:ind w:firstLine="200"/>
      <w:spacing w:line="360" w:lineRule="auto"/>
      <w:widowControl/>
    </w:pPr>
    <w:rPr>
      <w:rFonts w:hint="eastAsia" w:ascii="宋体" w:hAnsi="Times New Roman" w:eastAsia="宋体" w:cs="Times New Roman"/>
      <w:sz w:val="24"/>
    </w:rPr>
  </w:style>
  <w:style w:type="paragraph" w:styleId="1019"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1020"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1021"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1022"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1023" w:customStyle="1">
    <w:name w:val="正文文本首行缩进 2 字符"/>
    <w:uiPriority w:val="0"/>
    <w:qFormat/>
    <w:rPr>
      <w:sz w:val="21"/>
      <w:szCs w:val="24"/>
    </w:rPr>
  </w:style>
  <w:style w:type="paragraph" w:styleId="1024" w:customStyle="1">
    <w:name w:val="qq正文"/>
    <w:basedOn w:val="892"/>
    <w:uiPriority w:val="0"/>
    <w:qFormat/>
    <w:pPr>
      <w:ind w:firstLine="200"/>
      <w:spacing w:line="360" w:lineRule="auto"/>
    </w:pPr>
    <w:rPr>
      <w:rFonts w:ascii="Times New Roman" w:hAnsi="Times New Roman" w:eastAsia="宋体" w:cs="Times New Roman"/>
      <w:sz w:val="24"/>
      <w:szCs w:val="24"/>
    </w:rPr>
  </w:style>
  <w:style w:type="paragraph" w:styleId="1025"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1026"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1027"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1028"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1029" w:customStyle="1">
    <w:name w:val="修订31"/>
    <w:hidden/>
    <w:uiPriority w:val="99"/>
    <w:unhideWhenUsed/>
    <w:qFormat/>
    <w:rPr>
      <w:rFonts w:asciiTheme="minorHAnsi" w:hAnsiTheme="minorHAnsi" w:eastAsiaTheme="minorEastAsia" w:cstheme="minorBidi"/>
      <w:sz w:val="21"/>
      <w:szCs w:val="22"/>
      <w:lang w:val="en-US" w:eastAsia="zh-CN" w:bidi="ar-SA"/>
    </w:rPr>
  </w:style>
  <w:style w:type="paragraph" w:styleId="1030" w:customStyle="1">
    <w:name w:val="修订32"/>
    <w:hidden/>
    <w:uiPriority w:val="99"/>
    <w:unhideWhenUsed/>
    <w:qFormat/>
    <w:rPr>
      <w:rFonts w:asciiTheme="minorHAnsi" w:hAnsiTheme="minorHAnsi" w:eastAsiaTheme="minorEastAsia" w:cstheme="minorBidi"/>
      <w:sz w:val="21"/>
      <w:szCs w:val="22"/>
      <w:lang w:val="en-US" w:eastAsia="zh-CN" w:bidi="ar-SA"/>
    </w:rPr>
  </w:style>
  <w:style w:type="paragraph" w:styleId="1031" w:customStyle="1">
    <w:name w:val="修订33"/>
    <w:hidden/>
    <w:uiPriority w:val="99"/>
    <w:unhideWhenUsed/>
    <w:qFormat/>
    <w:rPr>
      <w:rFonts w:asciiTheme="minorHAnsi" w:hAnsiTheme="minorHAnsi" w:eastAsiaTheme="minorEastAsia" w:cstheme="minorBidi"/>
      <w:sz w:val="21"/>
      <w:szCs w:val="22"/>
      <w:lang w:val="en-US" w:eastAsia="zh-CN" w:bidi="ar-SA"/>
    </w:rPr>
  </w:style>
  <w:style w:type="paragraph" w:styleId="1032"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680A7-E089-4001-A16F-8085A600DAC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9</cp:revision>
  <dcterms:created xsi:type="dcterms:W3CDTF">2025-10-17T09:32:00Z</dcterms:created>
  <dcterms:modified xsi:type="dcterms:W3CDTF">2025-10-20T03:43:30Z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3213DEAA95FE40BD8400EF0621AB5FD1_13</vt:lpwstr>
  </property>
  <property fmtid="{D5CDD505-2E9C-101B-9397-08002B2CF9AE}" pid="4" name="KSOTemplateDocerSaveRecord">
    <vt:lpwstr>eyJoZGlkIjoiNTE3ODBhODAwYWZlYmM2Zjk2MjA5ZjdiYTk1Y2U0OTQiLCJ1c2VySWQiOiI5NTc1NDY5NDYifQ==</vt:lpwstr>
  </property>
</Properties>
</file>